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sz w:val="24"/>
          <w:szCs w:val="24"/>
        </w:rPr>
      </w:pPr>
      <w:bookmarkStart w:colFirst="0" w:colLast="0" w:name="_heading=h.30j0zll" w:id="0"/>
      <w:bookmarkEnd w:id="0"/>
      <w:r w:rsidDel="00000000" w:rsidR="00000000" w:rsidRPr="00000000">
        <w:rPr>
          <w:rFonts w:ascii="Calibri" w:cs="Calibri" w:eastAsia="Calibri" w:hAnsi="Calibri"/>
          <w:sz w:val="28"/>
          <w:szCs w:val="28"/>
          <w:rtl w:val="0"/>
        </w:rPr>
        <w:t xml:space="preserve">Course Name: Beginning/Intermediate </w:t>
        <w:br w:type="textWrapping"/>
        <w:t xml:space="preserve">Basic Auto Body Restoration</w:t>
      </w:r>
      <w:r w:rsidDel="00000000" w:rsidR="00000000" w:rsidRPr="00000000">
        <w:rPr>
          <w:rFonts w:ascii="Calibri" w:cs="Calibri" w:eastAsia="Calibri" w:hAnsi="Calibri"/>
          <w:color w:val="808080"/>
          <w:sz w:val="32"/>
          <w:szCs w:val="32"/>
          <w:rtl w:val="0"/>
        </w:rPr>
        <w:br w:type="textWrapping"/>
      </w:r>
      <w:r w:rsidDel="00000000" w:rsidR="00000000" w:rsidRPr="00000000">
        <w:rPr>
          <w:rFonts w:ascii="Calibri" w:cs="Calibri" w:eastAsia="Calibri" w:hAnsi="Calibri"/>
          <w:sz w:val="24"/>
          <w:szCs w:val="24"/>
          <w:rtl w:val="0"/>
        </w:rPr>
        <w:t xml:space="preserve">42 Hours</w:t>
      </w:r>
      <w:r w:rsidDel="00000000" w:rsidR="00000000" w:rsidRPr="00000000">
        <w:drawing>
          <wp:anchor allowOverlap="1" behindDoc="0" distB="0" distT="0" distL="114300" distR="114300" hidden="0" layoutInCell="1" locked="0" relativeHeight="0" simplePos="0">
            <wp:simplePos x="0" y="0"/>
            <wp:positionH relativeFrom="column">
              <wp:posOffset>38101</wp:posOffset>
            </wp:positionH>
            <wp:positionV relativeFrom="paragraph">
              <wp:posOffset>-123824</wp:posOffset>
            </wp:positionV>
            <wp:extent cx="1200785" cy="560705"/>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00785" cy="560705"/>
                    </a:xfrm>
                    <a:prstGeom prst="rect"/>
                    <a:ln/>
                  </pic:spPr>
                </pic:pic>
              </a:graphicData>
            </a:graphic>
          </wp:anchor>
        </w:drawing>
      </w:r>
    </w:p>
    <w:tbl>
      <w:tblPr>
        <w:tblStyle w:val="Table1"/>
        <w:tblW w:w="9360.0" w:type="dxa"/>
        <w:jc w:val="left"/>
        <w:tblInd w:w="0.0" w:type="dxa"/>
        <w:tblLayout w:type="fixed"/>
        <w:tblLook w:val="0400"/>
      </w:tblPr>
      <w:tblGrid>
        <w:gridCol w:w="9360"/>
        <w:tblGridChange w:id="0">
          <w:tblGrid>
            <w:gridCol w:w="9360"/>
          </w:tblGrid>
        </w:tblGridChange>
      </w:tblGrid>
      <w:tr>
        <w:trPr>
          <w:cantSplit w:val="0"/>
          <w:tblHeader w:val="0"/>
        </w:trPr>
        <w:tc>
          <w:tcPr>
            <w:tcMar>
              <w:top w:w="0.0" w:type="dxa"/>
              <w:left w:w="115.0" w:type="dxa"/>
              <w:bottom w:w="0.0" w:type="dxa"/>
              <w:right w:w="115.0" w:type="dxa"/>
            </w:tcMar>
          </w:tcPr>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Course Description:</w:t>
            </w:r>
          </w:p>
          <w:tbl>
            <w:tblPr>
              <w:tblStyle w:val="Table2"/>
              <w:tblW w:w="9130.0" w:type="dxa"/>
              <w:jc w:val="left"/>
              <w:tblLayout w:type="fixed"/>
              <w:tblLook w:val="0400"/>
            </w:tblPr>
            <w:tblGrid>
              <w:gridCol w:w="9130"/>
              <w:tblGridChange w:id="0">
                <w:tblGrid>
                  <w:gridCol w:w="9130"/>
                </w:tblGrid>
              </w:tblGridChange>
            </w:tblGrid>
            <w:tr>
              <w:trPr>
                <w:cantSplit w:val="0"/>
                <w:tblHeader w:val="0"/>
              </w:trPr>
              <w:tc>
                <w:tcPr>
                  <w:tcMar>
                    <w:top w:w="0.0" w:type="dxa"/>
                    <w:left w:w="115.0" w:type="dxa"/>
                    <w:bottom w:w="0.0" w:type="dxa"/>
                    <w:right w:w="115.0" w:type="dxa"/>
                  </w:tcMar>
                </w:tcPr>
                <w:p w:rsidR="00000000" w:rsidDel="00000000" w:rsidP="00000000" w:rsidRDefault="00000000" w:rsidRPr="00000000" w14:paraId="00000003">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Receive training in shop safety, preparation, refinishing, abrasives, spray gun nomenclature, masking applications, paint booth prep, painting and detailing.  Additional supply fee will be charged according to usage.  Vehicles must be in operating condition; they CANNOT be left in the shop overnight.</w:t>
                  </w:r>
                </w:p>
              </w:tc>
            </w:tr>
            <w:tr>
              <w:trPr>
                <w:cantSplit w:val="0"/>
                <w:tblHeader w:val="0"/>
              </w:trPr>
              <w:tc>
                <w:tcPr>
                  <w:tcMar>
                    <w:top w:w="0.0" w:type="dxa"/>
                    <w:left w:w="115.0" w:type="dxa"/>
                    <w:bottom w:w="0.0" w:type="dxa"/>
                    <w:right w:w="115.0" w:type="dxa"/>
                  </w:tcMar>
                </w:tcPr>
                <w:p w:rsidR="00000000" w:rsidDel="00000000" w:rsidP="00000000" w:rsidRDefault="00000000" w:rsidRPr="00000000" w14:paraId="00000004">
                  <w:pPr>
                    <w:spacing w:after="0" w:line="240" w:lineRule="auto"/>
                    <w:rPr>
                      <w:b w:val="1"/>
                      <w:color w:val="000000"/>
                      <w:sz w:val="24"/>
                      <w:szCs w:val="24"/>
                    </w:rPr>
                  </w:pPr>
                  <w:r w:rsidDel="00000000" w:rsidR="00000000" w:rsidRPr="00000000">
                    <w:rPr>
                      <w:rtl w:val="0"/>
                    </w:rPr>
                  </w:r>
                </w:p>
              </w:tc>
            </w:tr>
          </w:tbl>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Prerequisites:</w:t>
            </w:r>
          </w:p>
          <w:p w:rsidR="00000000" w:rsidDel="00000000" w:rsidP="00000000" w:rsidRDefault="00000000" w:rsidRPr="00000000" w14:paraId="00000006">
            <w:pPr>
              <w:rPr>
                <w:rFonts w:ascii="Calibri" w:cs="Calibri" w:eastAsia="Calibri" w:hAnsi="Calibri"/>
                <w:sz w:val="23"/>
                <w:szCs w:val="23"/>
              </w:rPr>
            </w:pPr>
            <w:bookmarkStart w:colFirst="0" w:colLast="0" w:name="_heading=h.gjdgxs" w:id="1"/>
            <w:bookmarkEnd w:id="1"/>
            <w:r w:rsidDel="00000000" w:rsidR="00000000" w:rsidRPr="00000000">
              <w:rPr>
                <w:rFonts w:ascii="Calibri" w:cs="Calibri" w:eastAsia="Calibri" w:hAnsi="Calibri"/>
                <w:sz w:val="23"/>
                <w:szCs w:val="23"/>
                <w:rtl w:val="0"/>
              </w:rPr>
              <w:t xml:space="preserve">N/A</w:t>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Curriculum Resources: books, etc.</w:t>
            </w:r>
          </w:p>
          <w:p w:rsidR="00000000" w:rsidDel="00000000" w:rsidP="00000000" w:rsidRDefault="00000000" w:rsidRPr="00000000" w14:paraId="00000008">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N/A</w:t>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Course Goals &amp; Objectives:</w:t>
              <w:br w:type="textWrapping"/>
            </w:r>
            <w:r w:rsidDel="00000000" w:rsidR="00000000" w:rsidRPr="00000000">
              <w:rPr>
                <w:sz w:val="20"/>
                <w:szCs w:val="20"/>
                <w:rtl w:val="0"/>
              </w:rPr>
              <w:t xml:space="preserve">By the end of this course, the student should be able to:</w:t>
            </w:r>
            <w:r w:rsidDel="00000000" w:rsidR="00000000" w:rsidRPr="00000000">
              <w:rPr>
                <w:rtl w:val="0"/>
              </w:rPr>
            </w:r>
          </w:p>
          <w:tbl>
            <w:tblPr>
              <w:tblStyle w:val="Table3"/>
              <w:tblW w:w="9024.0" w:type="dxa"/>
              <w:jc w:val="left"/>
              <w:tblLayout w:type="fixed"/>
              <w:tblLook w:val="0400"/>
            </w:tblPr>
            <w:tblGrid>
              <w:gridCol w:w="9024"/>
              <w:tblGridChange w:id="0">
                <w:tblGrid>
                  <w:gridCol w:w="9024"/>
                </w:tblGrid>
              </w:tblGridChange>
            </w:tblGrid>
            <w:tr>
              <w:trPr>
                <w:cantSplit w:val="0"/>
                <w:tblHeader w:val="0"/>
              </w:trPr>
              <w:tc>
                <w:tcPr>
                  <w:tcMar>
                    <w:top w:w="0.0" w:type="dxa"/>
                    <w:left w:w="115.0" w:type="dxa"/>
                    <w:bottom w:w="0.0" w:type="dxa"/>
                    <w:right w:w="115.0" w:type="dxa"/>
                  </w:tcMar>
                </w:tcPr>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sz w:val="23"/>
                      <w:szCs w:val="23"/>
                      <w:rtl w:val="0"/>
                    </w:rPr>
                    <w:t xml:space="preserve">1.</w:t>
                  </w:r>
                  <w:r w:rsidDel="00000000" w:rsidR="00000000" w:rsidRPr="00000000">
                    <w:rPr>
                      <w:sz w:val="23"/>
                      <w:szCs w:val="23"/>
                      <w:rtl w:val="0"/>
                    </w:rPr>
                    <w:t xml:space="preserve">       </w:t>
                  </w:r>
                  <w:r w:rsidDel="00000000" w:rsidR="00000000" w:rsidRPr="00000000">
                    <w:rPr>
                      <w:sz w:val="23"/>
                      <w:szCs w:val="23"/>
                      <w:rtl w:val="0"/>
                    </w:rPr>
                    <w:t xml:space="preserve">Demonstrate Safety Basics/PPE</w:t>
                    <w:br w:type="textWrapping"/>
                    <w:t xml:space="preserve">2.</w:t>
                  </w:r>
                  <w:r w:rsidDel="00000000" w:rsidR="00000000" w:rsidRPr="00000000">
                    <w:rPr>
                      <w:sz w:val="23"/>
                      <w:szCs w:val="23"/>
                      <w:rtl w:val="0"/>
                    </w:rPr>
                    <w:t xml:space="preserve">       </w:t>
                  </w:r>
                  <w:r w:rsidDel="00000000" w:rsidR="00000000" w:rsidRPr="00000000">
                    <w:rPr>
                      <w:sz w:val="23"/>
                      <w:szCs w:val="23"/>
                      <w:rtl w:val="0"/>
                    </w:rPr>
                    <w:t xml:space="preserve">Students will exhibit safe work practices</w:t>
                    <w:br w:type="textWrapping"/>
                    <w:t xml:space="preserve">3.</w:t>
                  </w:r>
                  <w:r w:rsidDel="00000000" w:rsidR="00000000" w:rsidRPr="00000000">
                    <w:rPr>
                      <w:sz w:val="23"/>
                      <w:szCs w:val="23"/>
                      <w:rtl w:val="0"/>
                    </w:rPr>
                    <w:t xml:space="preserve">       </w:t>
                  </w:r>
                  <w:r w:rsidDel="00000000" w:rsidR="00000000" w:rsidRPr="00000000">
                    <w:rPr>
                      <w:sz w:val="23"/>
                      <w:szCs w:val="23"/>
                      <w:rtl w:val="0"/>
                    </w:rPr>
                    <w:t xml:space="preserve">Assess repairs, do basic body work, prep for paint: including masking &amp; cleaning.</w:t>
                    <w:br w:type="textWrapping"/>
                    <w:t xml:space="preserve">4.</w:t>
                  </w:r>
                  <w:r w:rsidDel="00000000" w:rsidR="00000000" w:rsidRPr="00000000">
                    <w:rPr>
                      <w:sz w:val="23"/>
                      <w:szCs w:val="23"/>
                      <w:rtl w:val="0"/>
                    </w:rPr>
                    <w:t xml:space="preserve">       </w:t>
                  </w:r>
                  <w:r w:rsidDel="00000000" w:rsidR="00000000" w:rsidRPr="00000000">
                    <w:rPr>
                      <w:sz w:val="23"/>
                      <w:szCs w:val="23"/>
                      <w:rtl w:val="0"/>
                    </w:rPr>
                    <w:t xml:space="preserve">Set up paint guns, mix paint components, apply primers, sealers, base coats, &amp; clear coats.</w:t>
                    <w:br w:type="textWrapping"/>
                    <w:t xml:space="preserve">5.</w:t>
                  </w:r>
                  <w:r w:rsidDel="00000000" w:rsidR="00000000" w:rsidRPr="00000000">
                    <w:rPr>
                      <w:sz w:val="23"/>
                      <w:szCs w:val="23"/>
                      <w:rtl w:val="0"/>
                    </w:rPr>
                    <w:t xml:space="preserve">       </w:t>
                  </w:r>
                  <w:r w:rsidDel="00000000" w:rsidR="00000000" w:rsidRPr="00000000">
                    <w:rPr>
                      <w:sz w:val="23"/>
                      <w:szCs w:val="23"/>
                      <w:rtl w:val="0"/>
                    </w:rPr>
                    <w:t xml:space="preserve">Verbalize the difference in sandpaper grits &amp; uses/applications.</w:t>
                    <w:br w:type="textWrapping"/>
                    <w:t xml:space="preserve">6.</w:t>
                  </w:r>
                  <w:r w:rsidDel="00000000" w:rsidR="00000000" w:rsidRPr="00000000">
                    <w:rPr>
                      <w:sz w:val="23"/>
                      <w:szCs w:val="23"/>
                      <w:rtl w:val="0"/>
                    </w:rPr>
                    <w:t xml:space="preserve">       </w:t>
                  </w:r>
                  <w:r w:rsidDel="00000000" w:rsidR="00000000" w:rsidRPr="00000000">
                    <w:rPr>
                      <w:sz w:val="23"/>
                      <w:szCs w:val="23"/>
                      <w:rtl w:val="0"/>
                    </w:rPr>
                    <w:t xml:space="preserve">Color sanding/wet sanding &amp; Polishing.</w:t>
                    <w:br w:type="textWrapping"/>
                    <w:t xml:space="preserve">7.       Demonstrate  proficiency with basic auto body repair techniques </w:t>
                  </w:r>
                  <w:r w:rsidDel="00000000" w:rsidR="00000000" w:rsidRPr="00000000">
                    <w:rPr>
                      <w:rtl w:val="0"/>
                    </w:rPr>
                  </w:r>
                </w:p>
              </w:tc>
            </w:tr>
          </w:tbl>
          <w:p w:rsidR="00000000" w:rsidDel="00000000" w:rsidP="00000000" w:rsidRDefault="00000000" w:rsidRPr="00000000" w14:paraId="0000000B">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0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Teaching Philosophy:</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sz w:val="23"/>
          <w:szCs w:val="23"/>
          <w:rtl w:val="0"/>
        </w:rPr>
        <w:t xml:space="preserve">We believe that instructors, staff, and administrators have a shared responsibility to provide: 1) innovative course design and instruction; 2) a safe, learner-centered environment; and 3) an authentic learning experience.</w:t>
      </w:r>
      <w:r w:rsidDel="00000000" w:rsidR="00000000" w:rsidRPr="00000000">
        <w:rPr>
          <w:rtl w:val="0"/>
        </w:rPr>
      </w:r>
    </w:p>
    <w:p w:rsidR="00000000" w:rsidDel="00000000" w:rsidP="00000000" w:rsidRDefault="00000000" w:rsidRPr="00000000" w14:paraId="0000000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Evaluation Methods:</w:t>
      </w:r>
    </w:p>
    <w:p w:rsidR="00000000" w:rsidDel="00000000" w:rsidP="00000000" w:rsidRDefault="00000000" w:rsidRPr="00000000" w14:paraId="0000000F">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Student success is based on participation in class activities and the completion of exercises. A certificate of completion requires 100% attendance and completion of all assigned activities.</w:t>
      </w:r>
    </w:p>
    <w:p w:rsidR="00000000" w:rsidDel="00000000" w:rsidP="00000000" w:rsidRDefault="00000000" w:rsidRPr="00000000" w14:paraId="0000001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Grading Policy:</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Student success is based on participation in class activities and the completion of exercises. A certificate of completion requires successful completion of all assigned work within the established time frame. Types of graded assignments will be projects, review questions, activities and assignments. </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S = Satisfactory</w:t>
        <w:br w:type="textWrapping"/>
        <w:t xml:space="preserve">U = Unsatisfactory</w:t>
        <w:br w:type="textWrapping"/>
        <w:t xml:space="preserve">A course grade of Unsatisfactory does not qualify the course as a prerequisite to other courses.</w:t>
      </w:r>
    </w:p>
    <w:p w:rsidR="00000000" w:rsidDel="00000000" w:rsidP="00000000" w:rsidRDefault="00000000" w:rsidRPr="00000000" w14:paraId="0000001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Participants Responsibilities:</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sz w:val="23"/>
          <w:szCs w:val="23"/>
          <w:rtl w:val="0"/>
        </w:rPr>
        <w:t xml:space="preserve">To ensure a quality and safe learning environment, students are required to follow the Student Behavior policy found online at </w:t>
      </w:r>
      <w:hyperlink r:id="rId8">
        <w:r w:rsidDel="00000000" w:rsidR="00000000" w:rsidRPr="00000000">
          <w:rPr>
            <w:rFonts w:ascii="Calibri" w:cs="Calibri" w:eastAsia="Calibri" w:hAnsi="Calibri"/>
            <w:color w:val="0563c1"/>
            <w:sz w:val="23"/>
            <w:szCs w:val="23"/>
            <w:u w:val="single"/>
            <w:rtl w:val="0"/>
          </w:rPr>
          <w:t xml:space="preserve">https://www.middeltech.com/student-services/student-handbook</w:t>
        </w:r>
      </w:hyperlink>
      <w:r w:rsidDel="00000000" w:rsidR="00000000" w:rsidRPr="00000000">
        <w:rPr>
          <w:rFonts w:ascii="Calibri" w:cs="Calibri" w:eastAsia="Calibri" w:hAnsi="Calibri"/>
          <w:sz w:val="23"/>
          <w:szCs w:val="23"/>
          <w:rtl w:val="0"/>
        </w:rPr>
        <w:t xml:space="preserve">/.</w:t>
      </w: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sectPr>
      <w:headerReference r:id="rId9" w:type="default"/>
      <w:pgSz w:h="15840" w:w="12240" w:orient="portrait"/>
      <w:pgMar w:bottom="9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rsid w:val="00DF46C0"/>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46C0"/>
  </w:style>
  <w:style w:type="paragraph" w:styleId="Footer">
    <w:name w:val="footer"/>
    <w:basedOn w:val="Normal"/>
    <w:link w:val="FooterChar"/>
    <w:uiPriority w:val="99"/>
    <w:unhideWhenUsed w:val="1"/>
    <w:rsid w:val="00DF46C0"/>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46C0"/>
  </w:style>
  <w:style w:type="character" w:styleId="PlaceholderText">
    <w:name w:val="Placeholder Text"/>
    <w:basedOn w:val="DefaultParagraphFont"/>
    <w:uiPriority w:val="99"/>
    <w:semiHidden w:val="1"/>
    <w:rsid w:val="00DF46C0"/>
    <w:rPr>
      <w:color w:val="808080"/>
    </w:rPr>
  </w:style>
  <w:style w:type="paragraph" w:styleId="Default" w:customStyle="1">
    <w:name w:val="Default"/>
    <w:rsid w:val="00BA61E2"/>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val="1"/>
    <w:rsid w:val="00BA61E2"/>
    <w:rPr>
      <w:color w:val="0563c1" w:themeColor="hyperlink"/>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TableGrid">
    <w:name w:val="Table Grid"/>
    <w:basedOn w:val="TableNormal"/>
    <w:uiPriority w:val="39"/>
    <w:rsid w:val="00D64F3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580B85"/>
    <w:pPr>
      <w:spacing w:after="100" w:afterAutospacing="1" w:before="100" w:beforeAutospacing="1" w:line="240" w:lineRule="auto"/>
    </w:pPr>
    <w:rPr>
      <w:rFonts w:ascii="Times New Roman" w:cs="Times New Roman" w:eastAsia="Times New Roman" w:hAnsi="Times New Roman"/>
      <w:sz w:val="24"/>
      <w:szCs w:val="24"/>
    </w:rPr>
  </w:style>
  <w:style w:type="paragraph" w:styleId="NoSpacing">
    <w:name w:val="No Spacing"/>
    <w:uiPriority w:val="1"/>
    <w:qFormat w:val="1"/>
    <w:rsid w:val="00C91F40"/>
    <w:pPr>
      <w:spacing w:after="0" w:line="240" w:lineRule="auto"/>
    </w:pPr>
  </w:style>
  <w:style w:type="paragraph" w:styleId="ListParagraph">
    <w:name w:val="List Paragraph"/>
    <w:basedOn w:val="Normal"/>
    <w:uiPriority w:val="34"/>
    <w:qFormat w:val="1"/>
    <w:rsid w:val="00B124F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middeltech.com/student-services/studen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6UROrLNwXFEaAKfKsgp4Q2x8g==">AMUW2mUSo33N+qdXMKXR+ssb5sm2c/M4vC+yXK8AEs7G66fXVN61Zq4rOBR79DdFRdO3G+fb2UkldFX/Shvjvut8QoTaWTZrTVVRRI9Pw1qboEJZFlvDjEwRyqiIbyQsPHNp+geT+gdu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2022-02-01T18:08:00Z</dcterms:created>
  <dc:creator>Tammy Goodwin</dc:creator>
</cp:coreProperties>
</file>