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D2" w:rsidRDefault="003A08D2" w:rsidP="00A14509">
      <w:pPr>
        <w:pStyle w:val="Heading2"/>
        <w:rPr>
          <w:sz w:val="20"/>
        </w:rPr>
      </w:pPr>
    </w:p>
    <w:p w:rsidR="00A43D22" w:rsidRDefault="00A43D22" w:rsidP="00A43D22">
      <w:pPr>
        <w:tabs>
          <w:tab w:val="left" w:pos="2579"/>
          <w:tab w:val="center" w:pos="4680"/>
        </w:tabs>
        <w:jc w:val="center"/>
        <w:rPr>
          <w:b/>
          <w:noProof/>
        </w:rPr>
      </w:pPr>
    </w:p>
    <w:p w:rsidR="00A43D22" w:rsidRPr="00AB09E0" w:rsidRDefault="00A43D22" w:rsidP="00A43D22">
      <w:pPr>
        <w:tabs>
          <w:tab w:val="left" w:pos="2579"/>
          <w:tab w:val="center" w:pos="4680"/>
        </w:tabs>
        <w:jc w:val="center"/>
        <w:rPr>
          <w:b/>
          <w:noProof/>
        </w:rPr>
      </w:pPr>
      <w:r w:rsidRPr="00AB09E0">
        <w:rPr>
          <w:b/>
          <w:noProof/>
        </w:rPr>
        <w:t>MID-DEL TECHNOLOGY CENTER</w:t>
      </w:r>
    </w:p>
    <w:p w:rsidR="00A43D22" w:rsidRPr="00AB09E0" w:rsidRDefault="00A43D22" w:rsidP="00A43D22">
      <w:pPr>
        <w:jc w:val="center"/>
        <w:rPr>
          <w:b/>
        </w:rPr>
      </w:pPr>
      <w:r w:rsidRPr="00AB09E0">
        <w:rPr>
          <w:b/>
        </w:rPr>
        <w:t>PRACTICAL NURSING PROGRAM</w:t>
      </w:r>
    </w:p>
    <w:p w:rsidR="00A43D22" w:rsidRPr="00AB09E0" w:rsidRDefault="00A43D22" w:rsidP="00A43D22">
      <w:pPr>
        <w:jc w:val="center"/>
        <w:rPr>
          <w:b/>
        </w:rPr>
      </w:pPr>
    </w:p>
    <w:p w:rsidR="00A43D22" w:rsidRPr="00AB09E0" w:rsidRDefault="00A43D22" w:rsidP="00A43D22">
      <w:pPr>
        <w:jc w:val="center"/>
        <w:rPr>
          <w:b/>
        </w:rPr>
      </w:pPr>
      <w:r>
        <w:rPr>
          <w:b/>
        </w:rPr>
        <w:t>Program Expenses</w:t>
      </w:r>
    </w:p>
    <w:p w:rsidR="00A43D22" w:rsidRDefault="00A43D22" w:rsidP="00A43D22">
      <w:pPr>
        <w:jc w:val="center"/>
        <w:rPr>
          <w:b/>
        </w:rPr>
      </w:pPr>
      <w:r>
        <w:rPr>
          <w:b/>
        </w:rPr>
        <w:t xml:space="preserve">2021-2022 </w:t>
      </w:r>
    </w:p>
    <w:p w:rsidR="00A43D22" w:rsidRPr="00AB09E0" w:rsidRDefault="00A43D22" w:rsidP="00A43D22">
      <w:pPr>
        <w:jc w:val="center"/>
      </w:pPr>
      <w:bookmarkStart w:id="0" w:name="_GoBack"/>
      <w:bookmarkEnd w:id="0"/>
    </w:p>
    <w:p w:rsidR="00A43D22" w:rsidRPr="00AB09E0" w:rsidRDefault="00A43D22" w:rsidP="00A43D22"/>
    <w:p w:rsidR="00A43D22" w:rsidRPr="00AB09E0" w:rsidRDefault="00A43D22" w:rsidP="00A43D22"/>
    <w:tbl>
      <w:tblPr>
        <w:tblW w:w="972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390"/>
        <w:gridCol w:w="1890"/>
      </w:tblGrid>
      <w:tr w:rsidR="00A43D22" w:rsidRPr="00335116" w:rsidTr="00A43D22">
        <w:trPr>
          <w:trHeight w:val="26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D9D9D9"/>
          </w:tcPr>
          <w:p w:rsidR="00A43D22" w:rsidRDefault="00A43D22" w:rsidP="004A4294">
            <w:pPr>
              <w:jc w:val="center"/>
              <w:rPr>
                <w:b/>
              </w:rPr>
            </w:pPr>
            <w:r>
              <w:rPr>
                <w:b/>
              </w:rPr>
              <w:t>Items</w:t>
            </w:r>
          </w:p>
          <w:p w:rsidR="00A43D22" w:rsidRPr="00335116" w:rsidRDefault="00A43D22" w:rsidP="004A4294">
            <w:pPr>
              <w:jc w:val="center"/>
              <w:rPr>
                <w:b/>
              </w:rPr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A43D22" w:rsidRPr="00335116" w:rsidRDefault="00A43D22" w:rsidP="004A4294">
            <w:pPr>
              <w:jc w:val="center"/>
              <w:rPr>
                <w:b/>
              </w:rPr>
            </w:pPr>
            <w:r w:rsidRPr="00335116">
              <w:rPr>
                <w:b/>
              </w:rPr>
              <w:t>Description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A43D22" w:rsidRPr="00335116" w:rsidRDefault="00A43D22" w:rsidP="004A4294">
            <w:pPr>
              <w:jc w:val="center"/>
              <w:rPr>
                <w:b/>
              </w:rPr>
            </w:pPr>
            <w:r w:rsidRPr="00335116">
              <w:rPr>
                <w:b/>
              </w:rPr>
              <w:t>Charge</w:t>
            </w:r>
          </w:p>
        </w:tc>
      </w:tr>
      <w:tr w:rsidR="00A43D22" w:rsidRPr="00335116" w:rsidTr="00A43D22">
        <w:trPr>
          <w:trHeight w:val="170"/>
        </w:trPr>
        <w:tc>
          <w:tcPr>
            <w:tcW w:w="1440" w:type="dxa"/>
            <w:tcBorders>
              <w:top w:val="single" w:sz="12" w:space="0" w:color="auto"/>
              <w:left w:val="single" w:sz="18" w:space="0" w:color="auto"/>
            </w:tcBorders>
          </w:tcPr>
          <w:p w:rsidR="00A43D22" w:rsidRDefault="00A43D22" w:rsidP="004A4294">
            <w:pPr>
              <w:rPr>
                <w:sz w:val="22"/>
                <w:szCs w:val="22"/>
              </w:rPr>
            </w:pPr>
            <w:r w:rsidRPr="00335116">
              <w:rPr>
                <w:sz w:val="22"/>
                <w:szCs w:val="22"/>
              </w:rPr>
              <w:t>Tuition</w:t>
            </w:r>
          </w:p>
          <w:p w:rsidR="00A43D22" w:rsidRPr="00335116" w:rsidRDefault="00A43D22" w:rsidP="004A4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($3.00/</w:t>
            </w:r>
            <w:proofErr w:type="spellStart"/>
            <w:r>
              <w:rPr>
                <w:sz w:val="22"/>
                <w:szCs w:val="22"/>
              </w:rPr>
              <w:t>Hr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6390" w:type="dxa"/>
            <w:tcBorders>
              <w:top w:val="single" w:sz="12" w:space="0" w:color="auto"/>
            </w:tcBorders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1207 Hours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A43D22" w:rsidRDefault="00A43D22" w:rsidP="004A4294">
            <w:pPr>
              <w:jc w:val="right"/>
              <w:rPr>
                <w:sz w:val="22"/>
                <w:szCs w:val="22"/>
              </w:rPr>
            </w:pPr>
            <w:r w:rsidRPr="00335116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3621.00</w:t>
            </w:r>
          </w:p>
          <w:p w:rsidR="00A43D22" w:rsidRPr="00335116" w:rsidRDefault="00A43D22" w:rsidP="004A4294">
            <w:pPr>
              <w:jc w:val="right"/>
              <w:rPr>
                <w:sz w:val="22"/>
                <w:szCs w:val="22"/>
              </w:rPr>
            </w:pPr>
          </w:p>
        </w:tc>
      </w:tr>
      <w:tr w:rsidR="00A43D22" w:rsidRPr="00335116" w:rsidTr="00A43D22">
        <w:trPr>
          <w:trHeight w:val="242"/>
        </w:trPr>
        <w:tc>
          <w:tcPr>
            <w:tcW w:w="1440" w:type="dxa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  <w:r w:rsidRPr="00C76D56">
              <w:rPr>
                <w:sz w:val="22"/>
                <w:szCs w:val="22"/>
              </w:rPr>
              <w:t>Curriculum Resources</w:t>
            </w:r>
          </w:p>
        </w:tc>
        <w:tc>
          <w:tcPr>
            <w:tcW w:w="6390" w:type="dxa"/>
          </w:tcPr>
          <w:p w:rsidR="00A43D22" w:rsidRDefault="00A43D22" w:rsidP="004A4294">
            <w:pPr>
              <w:rPr>
                <w:sz w:val="22"/>
                <w:szCs w:val="22"/>
              </w:rPr>
            </w:pPr>
            <w:r w:rsidRPr="00D40934">
              <w:rPr>
                <w:sz w:val="22"/>
                <w:szCs w:val="22"/>
              </w:rPr>
              <w:t>Fundamental Con</w:t>
            </w:r>
            <w:r>
              <w:rPr>
                <w:sz w:val="22"/>
                <w:szCs w:val="22"/>
              </w:rPr>
              <w:t>cepts &amp; Skills for Nursing Textbook</w:t>
            </w:r>
          </w:p>
          <w:p w:rsidR="00A43D22" w:rsidRDefault="00A43D22" w:rsidP="004A4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Fundamental Concepts &amp; Skills for Nursing </w:t>
            </w:r>
            <w:r w:rsidRPr="00D40934">
              <w:rPr>
                <w:sz w:val="22"/>
                <w:szCs w:val="22"/>
              </w:rPr>
              <w:t>Study Guide</w:t>
            </w:r>
          </w:p>
        </w:tc>
        <w:tc>
          <w:tcPr>
            <w:tcW w:w="1890" w:type="dxa"/>
          </w:tcPr>
          <w:p w:rsidR="00A43D22" w:rsidRDefault="00A43D22" w:rsidP="004A4294">
            <w:pPr>
              <w:tabs>
                <w:tab w:val="left" w:pos="517"/>
                <w:tab w:val="left" w:pos="1237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$73.00</w:t>
            </w:r>
          </w:p>
          <w:p w:rsidR="00A43D22" w:rsidRDefault="00A43D22" w:rsidP="004A4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$33.00</w:t>
            </w:r>
          </w:p>
        </w:tc>
      </w:tr>
      <w:tr w:rsidR="00A43D22" w:rsidRPr="00335116" w:rsidTr="00A43D22">
        <w:trPr>
          <w:trHeight w:val="215"/>
        </w:trPr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A43D22" w:rsidRDefault="00A43D22" w:rsidP="00A43D22">
            <w:pPr>
              <w:rPr>
                <w:sz w:val="20"/>
              </w:rPr>
            </w:pPr>
            <w:r w:rsidRPr="00284A5A">
              <w:rPr>
                <w:sz w:val="20"/>
              </w:rPr>
              <w:t>Introduction to Medical-Surgical Nursing Text</w:t>
            </w:r>
            <w:r>
              <w:rPr>
                <w:sz w:val="20"/>
              </w:rPr>
              <w:t>book</w:t>
            </w:r>
          </w:p>
          <w:p w:rsidR="00A43D22" w:rsidRPr="007118D0" w:rsidRDefault="00A43D22" w:rsidP="00A43D22">
            <w:pPr>
              <w:rPr>
                <w:sz w:val="20"/>
              </w:rPr>
            </w:pPr>
            <w:r>
              <w:rPr>
                <w:sz w:val="20"/>
              </w:rPr>
              <w:t xml:space="preserve">Introduction to Medical-Surgical Nursing </w:t>
            </w:r>
            <w:r w:rsidRPr="00284A5A">
              <w:rPr>
                <w:sz w:val="20"/>
              </w:rPr>
              <w:t>Study Guide</w:t>
            </w:r>
          </w:p>
        </w:tc>
        <w:tc>
          <w:tcPr>
            <w:tcW w:w="1890" w:type="dxa"/>
          </w:tcPr>
          <w:p w:rsidR="00A43D22" w:rsidRPr="00284A5A" w:rsidRDefault="00A43D22" w:rsidP="004A4294">
            <w:pPr>
              <w:jc w:val="right"/>
              <w:rPr>
                <w:sz w:val="20"/>
              </w:rPr>
            </w:pPr>
            <w:r>
              <w:rPr>
                <w:sz w:val="20"/>
              </w:rPr>
              <w:t>$79.00</w:t>
            </w:r>
          </w:p>
          <w:p w:rsidR="00A43D22" w:rsidRPr="00714F4E" w:rsidRDefault="00A43D22" w:rsidP="004A4294">
            <w:pPr>
              <w:jc w:val="right"/>
              <w:rPr>
                <w:sz w:val="20"/>
              </w:rPr>
            </w:pPr>
            <w:r>
              <w:rPr>
                <w:sz w:val="20"/>
              </w:rPr>
              <w:t>$32.00</w:t>
            </w:r>
          </w:p>
        </w:tc>
      </w:tr>
      <w:tr w:rsidR="00A43D22" w:rsidRPr="00335116" w:rsidTr="00A43D22">
        <w:trPr>
          <w:trHeight w:val="420"/>
        </w:trPr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A43D22" w:rsidRDefault="00A43D22" w:rsidP="00A43D22">
            <w:pPr>
              <w:rPr>
                <w:sz w:val="20"/>
              </w:rPr>
            </w:pPr>
            <w:r>
              <w:rPr>
                <w:sz w:val="20"/>
              </w:rPr>
              <w:t>Intro to</w:t>
            </w:r>
            <w:r w:rsidRPr="00284A5A">
              <w:rPr>
                <w:sz w:val="20"/>
              </w:rPr>
              <w:t xml:space="preserve"> Maternal and </w:t>
            </w:r>
            <w:r>
              <w:rPr>
                <w:sz w:val="20"/>
              </w:rPr>
              <w:t xml:space="preserve">Pediatric </w:t>
            </w:r>
            <w:r w:rsidRPr="00284A5A">
              <w:rPr>
                <w:sz w:val="20"/>
              </w:rPr>
              <w:t xml:space="preserve">Nursing </w:t>
            </w:r>
            <w:r>
              <w:rPr>
                <w:sz w:val="20"/>
              </w:rPr>
              <w:t>Textbook</w:t>
            </w:r>
          </w:p>
          <w:p w:rsidR="00A43D22" w:rsidRDefault="00A43D22" w:rsidP="00A43D22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Intro to Maternal and Pediatric Nursing </w:t>
            </w:r>
            <w:r w:rsidRPr="00284A5A">
              <w:rPr>
                <w:sz w:val="20"/>
              </w:rPr>
              <w:t>Study Guide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43D22" w:rsidRPr="00F60D5D" w:rsidRDefault="00A43D22" w:rsidP="004A4294">
            <w:pPr>
              <w:jc w:val="right"/>
              <w:rPr>
                <w:sz w:val="20"/>
              </w:rPr>
            </w:pPr>
            <w:r>
              <w:rPr>
                <w:sz w:val="20"/>
              </w:rPr>
              <w:t>$75</w:t>
            </w:r>
            <w:r w:rsidRPr="00F60D5D">
              <w:rPr>
                <w:sz w:val="20"/>
              </w:rPr>
              <w:t>.</w:t>
            </w:r>
            <w:r>
              <w:rPr>
                <w:sz w:val="20"/>
              </w:rPr>
              <w:t>00</w:t>
            </w:r>
          </w:p>
          <w:p w:rsidR="00A43D22" w:rsidRDefault="00A43D22" w:rsidP="004A429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$36.00</w:t>
            </w:r>
          </w:p>
        </w:tc>
      </w:tr>
      <w:tr w:rsidR="00A43D22" w:rsidRPr="00335116" w:rsidTr="00A43D22">
        <w:trPr>
          <w:trHeight w:val="58"/>
        </w:trPr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A43D22" w:rsidRPr="00A87886" w:rsidRDefault="00A43D22" w:rsidP="004A4294">
            <w:pPr>
              <w:rPr>
                <w:sz w:val="20"/>
              </w:rPr>
            </w:pPr>
            <w:r w:rsidRPr="00284A5A">
              <w:rPr>
                <w:sz w:val="20"/>
              </w:rPr>
              <w:t>Foundations of Mental Health Care</w:t>
            </w:r>
            <w:r>
              <w:rPr>
                <w:sz w:val="20"/>
              </w:rPr>
              <w:t xml:space="preserve"> Text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43D22" w:rsidRDefault="00A43D22" w:rsidP="004A4294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$47.00</w:t>
            </w:r>
          </w:p>
        </w:tc>
      </w:tr>
      <w:tr w:rsidR="00A43D22" w:rsidRPr="00335116" w:rsidTr="00A43D22">
        <w:trPr>
          <w:trHeight w:val="197"/>
        </w:trPr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A43D22" w:rsidRPr="00A87886" w:rsidRDefault="00A43D22" w:rsidP="004A4294">
            <w:pPr>
              <w:rPr>
                <w:sz w:val="20"/>
              </w:rPr>
            </w:pPr>
            <w:r w:rsidRPr="00284A5A">
              <w:rPr>
                <w:sz w:val="20"/>
              </w:rPr>
              <w:t>Dosage Calculations for Medical Careers</w:t>
            </w:r>
          </w:p>
        </w:tc>
        <w:tc>
          <w:tcPr>
            <w:tcW w:w="1890" w:type="dxa"/>
          </w:tcPr>
          <w:p w:rsidR="00A43D22" w:rsidRDefault="00A43D22" w:rsidP="004A4294">
            <w:pPr>
              <w:jc w:val="right"/>
              <w:rPr>
                <w:sz w:val="22"/>
              </w:rPr>
            </w:pPr>
            <w:r w:rsidRPr="00F60D5D">
              <w:rPr>
                <w:sz w:val="22"/>
              </w:rPr>
              <w:t>$</w:t>
            </w:r>
            <w:r>
              <w:rPr>
                <w:sz w:val="22"/>
              </w:rPr>
              <w:t>87</w:t>
            </w:r>
            <w:r w:rsidRPr="00F60D5D">
              <w:rPr>
                <w:sz w:val="22"/>
              </w:rPr>
              <w:t>.00</w:t>
            </w:r>
          </w:p>
        </w:tc>
      </w:tr>
      <w:tr w:rsidR="00A43D22" w:rsidRPr="00335116" w:rsidTr="00A43D22">
        <w:trPr>
          <w:trHeight w:val="197"/>
        </w:trPr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A43D22" w:rsidRDefault="00A43D22" w:rsidP="004A4294">
            <w:pPr>
              <w:rPr>
                <w:sz w:val="22"/>
                <w:szCs w:val="22"/>
              </w:rPr>
            </w:pPr>
            <w:r w:rsidRPr="00D40934">
              <w:rPr>
                <w:sz w:val="22"/>
                <w:szCs w:val="22"/>
              </w:rPr>
              <w:t>NCLEX-PN Review Book</w:t>
            </w:r>
            <w:r>
              <w:rPr>
                <w:sz w:val="22"/>
                <w:szCs w:val="22"/>
              </w:rPr>
              <w:t xml:space="preserve"> (Saunders)</w:t>
            </w:r>
          </w:p>
        </w:tc>
        <w:tc>
          <w:tcPr>
            <w:tcW w:w="1890" w:type="dxa"/>
          </w:tcPr>
          <w:p w:rsidR="00A43D22" w:rsidRDefault="00A43D22" w:rsidP="004A4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</w:rPr>
              <w:t>$44</w:t>
            </w:r>
            <w:r w:rsidRPr="00F60D5D">
              <w:rPr>
                <w:sz w:val="22"/>
              </w:rPr>
              <w:t>.00</w:t>
            </w:r>
          </w:p>
        </w:tc>
      </w:tr>
      <w:tr w:rsidR="00A43D22" w:rsidRPr="00335116" w:rsidTr="00A43D22">
        <w:trPr>
          <w:trHeight w:val="197"/>
        </w:trPr>
        <w:tc>
          <w:tcPr>
            <w:tcW w:w="1440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A43D22" w:rsidRPr="00A87886" w:rsidRDefault="00A43D22" w:rsidP="004A4294">
            <w:pPr>
              <w:rPr>
                <w:sz w:val="20"/>
              </w:rPr>
            </w:pPr>
            <w:r w:rsidRPr="00284A5A">
              <w:rPr>
                <w:sz w:val="20"/>
              </w:rPr>
              <w:t>ATI Comprehensive Assess</w:t>
            </w:r>
            <w:r>
              <w:rPr>
                <w:sz w:val="20"/>
              </w:rPr>
              <w:t>ments/Resources</w:t>
            </w:r>
          </w:p>
        </w:tc>
        <w:tc>
          <w:tcPr>
            <w:tcW w:w="1890" w:type="dxa"/>
          </w:tcPr>
          <w:p w:rsidR="00A43D22" w:rsidRDefault="00A43D22" w:rsidP="004A4294">
            <w:pPr>
              <w:jc w:val="right"/>
              <w:rPr>
                <w:sz w:val="22"/>
                <w:szCs w:val="22"/>
              </w:rPr>
            </w:pPr>
            <w:r w:rsidRPr="007B334F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880</w:t>
            </w:r>
            <w:r w:rsidRPr="007B334F">
              <w:rPr>
                <w:sz w:val="22"/>
                <w:szCs w:val="22"/>
              </w:rPr>
              <w:t>.00</w:t>
            </w:r>
          </w:p>
        </w:tc>
      </w:tr>
      <w:tr w:rsidR="00A43D22" w:rsidRPr="00335116" w:rsidTr="00A43D22">
        <w:trPr>
          <w:trHeight w:val="197"/>
        </w:trPr>
        <w:tc>
          <w:tcPr>
            <w:tcW w:w="1440" w:type="dxa"/>
            <w:tcBorders>
              <w:left w:val="single" w:sz="18" w:space="0" w:color="auto"/>
            </w:tcBorders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A43D22" w:rsidRPr="00284A5A" w:rsidRDefault="00A43D22" w:rsidP="004A4294">
            <w:pPr>
              <w:rPr>
                <w:sz w:val="20"/>
              </w:rPr>
            </w:pPr>
            <w:r>
              <w:rPr>
                <w:sz w:val="20"/>
              </w:rPr>
              <w:t>Davis Drug Guide</w:t>
            </w:r>
          </w:p>
        </w:tc>
        <w:tc>
          <w:tcPr>
            <w:tcW w:w="1890" w:type="dxa"/>
          </w:tcPr>
          <w:p w:rsidR="00A43D22" w:rsidRPr="007B334F" w:rsidRDefault="00A43D22" w:rsidP="004A4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$42.00</w:t>
            </w:r>
          </w:p>
        </w:tc>
      </w:tr>
      <w:tr w:rsidR="00A43D22" w:rsidRPr="00335116" w:rsidTr="00A43D22">
        <w:trPr>
          <w:trHeight w:val="70"/>
        </w:trPr>
        <w:tc>
          <w:tcPr>
            <w:tcW w:w="1440" w:type="dxa"/>
            <w:tcBorders>
              <w:left w:val="single" w:sz="18" w:space="0" w:color="auto"/>
            </w:tcBorders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</w:p>
        </w:tc>
        <w:tc>
          <w:tcPr>
            <w:tcW w:w="6390" w:type="dxa"/>
          </w:tcPr>
          <w:p w:rsidR="00A43D22" w:rsidRPr="00284A5A" w:rsidRDefault="00A43D22" w:rsidP="004A4294">
            <w:pPr>
              <w:rPr>
                <w:sz w:val="20"/>
              </w:rPr>
            </w:pPr>
            <w:r>
              <w:rPr>
                <w:sz w:val="20"/>
              </w:rPr>
              <w:t>NCLEX Prep: Hurst Review</w:t>
            </w:r>
          </w:p>
        </w:tc>
        <w:tc>
          <w:tcPr>
            <w:tcW w:w="1890" w:type="dxa"/>
          </w:tcPr>
          <w:p w:rsidR="00A43D22" w:rsidRDefault="00A43D22" w:rsidP="004A42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$250.00</w:t>
            </w:r>
          </w:p>
        </w:tc>
      </w:tr>
      <w:tr w:rsidR="00A43D22" w:rsidRPr="00335116" w:rsidTr="00A43D22">
        <w:trPr>
          <w:trHeight w:val="535"/>
        </w:trPr>
        <w:tc>
          <w:tcPr>
            <w:tcW w:w="1440" w:type="dxa"/>
            <w:tcBorders>
              <w:left w:val="single" w:sz="18" w:space="0" w:color="auto"/>
            </w:tcBorders>
          </w:tcPr>
          <w:p w:rsidR="00A43D22" w:rsidRPr="00335116" w:rsidRDefault="00A43D22" w:rsidP="004A4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Requirements</w:t>
            </w:r>
          </w:p>
        </w:tc>
        <w:tc>
          <w:tcPr>
            <w:tcW w:w="6390" w:type="dxa"/>
          </w:tcPr>
          <w:p w:rsidR="00A43D22" w:rsidRPr="00284A5A" w:rsidRDefault="00A43D22" w:rsidP="004A4294">
            <w:pPr>
              <w:tabs>
                <w:tab w:val="left" w:pos="252"/>
              </w:tabs>
              <w:rPr>
                <w:sz w:val="20"/>
              </w:rPr>
            </w:pPr>
            <w:r>
              <w:rPr>
                <w:sz w:val="20"/>
              </w:rPr>
              <w:t>National Background Check</w:t>
            </w:r>
          </w:p>
          <w:p w:rsidR="00A43D22" w:rsidRDefault="00A43D22" w:rsidP="004A4294">
            <w:pPr>
              <w:rPr>
                <w:sz w:val="20"/>
              </w:rPr>
            </w:pPr>
            <w:r w:rsidRPr="00284A5A">
              <w:rPr>
                <w:sz w:val="20"/>
              </w:rPr>
              <w:t>Drug Screen</w:t>
            </w:r>
          </w:p>
          <w:p w:rsidR="00A43D22" w:rsidRPr="00284A5A" w:rsidDel="00AA4257" w:rsidRDefault="00A43D22" w:rsidP="004A4294">
            <w:pPr>
              <w:rPr>
                <w:sz w:val="20"/>
              </w:rPr>
            </w:pPr>
            <w:r>
              <w:rPr>
                <w:sz w:val="20"/>
              </w:rPr>
              <w:t>Clinical Hub Fee</w:t>
            </w:r>
          </w:p>
        </w:tc>
        <w:tc>
          <w:tcPr>
            <w:tcW w:w="1890" w:type="dxa"/>
          </w:tcPr>
          <w:p w:rsidR="00A43D22" w:rsidRPr="00284A5A" w:rsidRDefault="00A43D22" w:rsidP="004A4294">
            <w:pPr>
              <w:jc w:val="right"/>
              <w:rPr>
                <w:sz w:val="20"/>
              </w:rPr>
            </w:pPr>
            <w:r>
              <w:rPr>
                <w:sz w:val="20"/>
              </w:rPr>
              <w:t>$49</w:t>
            </w:r>
            <w:r w:rsidRPr="00284A5A">
              <w:rPr>
                <w:sz w:val="20"/>
              </w:rPr>
              <w:t>.00</w:t>
            </w:r>
          </w:p>
          <w:p w:rsidR="00A43D22" w:rsidRDefault="00A43D22" w:rsidP="004A4294">
            <w:pPr>
              <w:jc w:val="right"/>
              <w:rPr>
                <w:sz w:val="20"/>
              </w:rPr>
            </w:pPr>
            <w:r>
              <w:rPr>
                <w:sz w:val="20"/>
              </w:rPr>
              <w:t>$30</w:t>
            </w:r>
            <w:r w:rsidRPr="007B334F">
              <w:rPr>
                <w:sz w:val="20"/>
              </w:rPr>
              <w:t>.00</w:t>
            </w:r>
          </w:p>
          <w:p w:rsidR="00A43D22" w:rsidRPr="00284A5A" w:rsidDel="00AA4257" w:rsidRDefault="00A43D22" w:rsidP="004A4294">
            <w:pPr>
              <w:jc w:val="right"/>
              <w:rPr>
                <w:sz w:val="20"/>
              </w:rPr>
            </w:pPr>
            <w:r>
              <w:rPr>
                <w:sz w:val="20"/>
              </w:rPr>
              <w:t>$40.00</w:t>
            </w:r>
          </w:p>
        </w:tc>
      </w:tr>
      <w:tr w:rsidR="00A43D22" w:rsidRPr="00335116" w:rsidTr="00A43D22">
        <w:trPr>
          <w:trHeight w:val="535"/>
        </w:trPr>
        <w:tc>
          <w:tcPr>
            <w:tcW w:w="1440" w:type="dxa"/>
            <w:tcBorders>
              <w:left w:val="single" w:sz="18" w:space="0" w:color="auto"/>
            </w:tcBorders>
          </w:tcPr>
          <w:p w:rsidR="00A43D22" w:rsidRDefault="00A43D22" w:rsidP="004A42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and Supply Fees</w:t>
            </w:r>
          </w:p>
        </w:tc>
        <w:tc>
          <w:tcPr>
            <w:tcW w:w="6390" w:type="dxa"/>
          </w:tcPr>
          <w:p w:rsidR="00A43D22" w:rsidRDefault="00A43D22" w:rsidP="004A4294">
            <w:pPr>
              <w:rPr>
                <w:sz w:val="20"/>
              </w:rPr>
            </w:pPr>
            <w:r>
              <w:rPr>
                <w:sz w:val="20"/>
              </w:rPr>
              <w:t>Skills</w:t>
            </w:r>
            <w:r w:rsidRPr="00284A5A">
              <w:rPr>
                <w:sz w:val="20"/>
              </w:rPr>
              <w:t xml:space="preserve"> lab</w:t>
            </w:r>
            <w:r>
              <w:rPr>
                <w:sz w:val="20"/>
              </w:rPr>
              <w:t xml:space="preserve"> supply kit    </w:t>
            </w:r>
          </w:p>
          <w:p w:rsidR="00A43D22" w:rsidRPr="00C76D56" w:rsidRDefault="00A43D22" w:rsidP="004A4294">
            <w:pPr>
              <w:rPr>
                <w:sz w:val="20"/>
              </w:rPr>
            </w:pPr>
            <w:r w:rsidRPr="00C76D56">
              <w:rPr>
                <w:sz w:val="20"/>
              </w:rPr>
              <w:t>Two sets uniforms; one lab coat</w:t>
            </w:r>
          </w:p>
          <w:p w:rsidR="00A43D22" w:rsidRPr="00C76D56" w:rsidRDefault="00A43D22" w:rsidP="004A4294">
            <w:pPr>
              <w:rPr>
                <w:sz w:val="20"/>
              </w:rPr>
            </w:pPr>
            <w:r w:rsidRPr="00C76D56">
              <w:rPr>
                <w:sz w:val="20"/>
              </w:rPr>
              <w:t>Two name tags</w:t>
            </w:r>
          </w:p>
          <w:p w:rsidR="00A43D22" w:rsidRDefault="00A43D22" w:rsidP="004A4294">
            <w:pPr>
              <w:rPr>
                <w:sz w:val="20"/>
              </w:rPr>
            </w:pPr>
            <w:r w:rsidRPr="00C76D56">
              <w:rPr>
                <w:sz w:val="20"/>
              </w:rPr>
              <w:t>Three uniform patches</w:t>
            </w:r>
          </w:p>
          <w:p w:rsidR="00A43D22" w:rsidRDefault="00A43D22" w:rsidP="004A4294">
            <w:pPr>
              <w:rPr>
                <w:sz w:val="20"/>
              </w:rPr>
            </w:pPr>
            <w:r>
              <w:rPr>
                <w:sz w:val="20"/>
              </w:rPr>
              <w:t>Graduation fee</w:t>
            </w:r>
          </w:p>
          <w:p w:rsidR="00A43D22" w:rsidRPr="00284A5A" w:rsidRDefault="00A43D22" w:rsidP="004A4294">
            <w:pPr>
              <w:rPr>
                <w:sz w:val="20"/>
              </w:rPr>
            </w:pPr>
            <w:r>
              <w:rPr>
                <w:sz w:val="20"/>
              </w:rPr>
              <w:t>Nursing Licensure Exam</w:t>
            </w:r>
          </w:p>
        </w:tc>
        <w:tc>
          <w:tcPr>
            <w:tcW w:w="1890" w:type="dxa"/>
          </w:tcPr>
          <w:p w:rsidR="00A43D22" w:rsidRDefault="00A43D22" w:rsidP="004A4294">
            <w:pPr>
              <w:jc w:val="right"/>
              <w:rPr>
                <w:sz w:val="20"/>
              </w:rPr>
            </w:pPr>
            <w:r w:rsidRPr="00C76D56">
              <w:rPr>
                <w:sz w:val="20"/>
              </w:rPr>
              <w:t>$</w:t>
            </w:r>
            <w:r>
              <w:rPr>
                <w:sz w:val="20"/>
              </w:rPr>
              <w:t>51</w:t>
            </w:r>
            <w:r w:rsidRPr="00C76D56">
              <w:rPr>
                <w:sz w:val="20"/>
              </w:rPr>
              <w:t>.00</w:t>
            </w:r>
          </w:p>
          <w:p w:rsidR="00A43D22" w:rsidRDefault="00A43D22" w:rsidP="004A4294">
            <w:pPr>
              <w:jc w:val="right"/>
              <w:rPr>
                <w:sz w:val="20"/>
              </w:rPr>
            </w:pPr>
            <w:r w:rsidRPr="007B334F">
              <w:rPr>
                <w:sz w:val="20"/>
              </w:rPr>
              <w:t>$125.00</w:t>
            </w:r>
          </w:p>
          <w:p w:rsidR="00A43D22" w:rsidRDefault="00A43D22" w:rsidP="004A4294">
            <w:pPr>
              <w:jc w:val="right"/>
              <w:rPr>
                <w:sz w:val="20"/>
              </w:rPr>
            </w:pPr>
            <w:r w:rsidRPr="007B334F">
              <w:rPr>
                <w:sz w:val="20"/>
              </w:rPr>
              <w:t>$</w:t>
            </w:r>
            <w:r>
              <w:rPr>
                <w:sz w:val="20"/>
              </w:rPr>
              <w:t>20</w:t>
            </w:r>
            <w:r w:rsidRPr="007B334F">
              <w:rPr>
                <w:sz w:val="20"/>
              </w:rPr>
              <w:t>.00</w:t>
            </w:r>
          </w:p>
          <w:p w:rsidR="00A43D22" w:rsidRDefault="00A43D22" w:rsidP="004A4294">
            <w:pPr>
              <w:jc w:val="right"/>
              <w:rPr>
                <w:sz w:val="20"/>
              </w:rPr>
            </w:pPr>
            <w:r>
              <w:rPr>
                <w:sz w:val="20"/>
              </w:rPr>
              <w:t>$19.00</w:t>
            </w:r>
          </w:p>
          <w:p w:rsidR="00A43D22" w:rsidRDefault="00A43D22" w:rsidP="004A4294">
            <w:pPr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 w:rsidRPr="007B334F">
              <w:rPr>
                <w:sz w:val="20"/>
              </w:rPr>
              <w:t>100.00</w:t>
            </w:r>
          </w:p>
          <w:p w:rsidR="00A43D22" w:rsidRPr="00284A5A" w:rsidRDefault="00A43D22" w:rsidP="004A4294">
            <w:pPr>
              <w:jc w:val="right"/>
              <w:rPr>
                <w:sz w:val="20"/>
              </w:rPr>
            </w:pPr>
            <w:r>
              <w:rPr>
                <w:sz w:val="20"/>
              </w:rPr>
              <w:t>$200.00</w:t>
            </w:r>
          </w:p>
        </w:tc>
      </w:tr>
      <w:tr w:rsidR="00A43D22" w:rsidRPr="00335116" w:rsidTr="00A43D22">
        <w:trPr>
          <w:trHeight w:val="70"/>
        </w:trPr>
        <w:tc>
          <w:tcPr>
            <w:tcW w:w="783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A43D22" w:rsidRPr="00335116" w:rsidRDefault="00A43D22" w:rsidP="00A43D2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Total Expenses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A43D22" w:rsidRPr="00A43D22" w:rsidRDefault="00A43D22" w:rsidP="004A4294">
            <w:pPr>
              <w:jc w:val="right"/>
              <w:rPr>
                <w:b/>
                <w:sz w:val="22"/>
                <w:szCs w:val="22"/>
              </w:rPr>
            </w:pPr>
            <w:r w:rsidRPr="00A43D22">
              <w:rPr>
                <w:b/>
                <w:sz w:val="22"/>
                <w:szCs w:val="22"/>
              </w:rPr>
              <w:t>$5933.00</w:t>
            </w:r>
          </w:p>
          <w:p w:rsidR="00A43D22" w:rsidRPr="00335116" w:rsidRDefault="00A43D22" w:rsidP="004A4294">
            <w:pPr>
              <w:jc w:val="right"/>
              <w:rPr>
                <w:sz w:val="22"/>
                <w:szCs w:val="22"/>
              </w:rPr>
            </w:pPr>
          </w:p>
        </w:tc>
      </w:tr>
    </w:tbl>
    <w:p w:rsidR="003A08D2" w:rsidRDefault="003A08D2" w:rsidP="00A14509">
      <w:pPr>
        <w:pStyle w:val="Heading2"/>
        <w:rPr>
          <w:sz w:val="20"/>
        </w:rPr>
      </w:pPr>
    </w:p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Default="00A43D22" w:rsidP="00A43D22"/>
    <w:p w:rsidR="00A43D22" w:rsidRPr="00A43D22" w:rsidRDefault="00A43D22" w:rsidP="00A43D22"/>
    <w:p w:rsidR="003A08D2" w:rsidRDefault="003A08D2" w:rsidP="00A14509">
      <w:pPr>
        <w:pStyle w:val="Heading2"/>
        <w:rPr>
          <w:sz w:val="20"/>
        </w:rPr>
      </w:pPr>
    </w:p>
    <w:p w:rsidR="0025455B" w:rsidRPr="003A08D2" w:rsidRDefault="0025455B" w:rsidP="0025455B">
      <w:pPr>
        <w:jc w:val="center"/>
        <w:rPr>
          <w:b/>
        </w:rPr>
      </w:pPr>
      <w:r>
        <w:rPr>
          <w:b/>
        </w:rPr>
        <w:t xml:space="preserve">MDTC </w:t>
      </w:r>
      <w:r w:rsidRPr="003A08D2">
        <w:rPr>
          <w:b/>
        </w:rPr>
        <w:t>Practical Nursing Program</w:t>
      </w:r>
    </w:p>
    <w:p w:rsidR="00153AD3" w:rsidRDefault="00252A73" w:rsidP="007B7CAD">
      <w:pPr>
        <w:pStyle w:val="Heading2"/>
        <w:rPr>
          <w:szCs w:val="24"/>
        </w:rPr>
      </w:pPr>
      <w:r>
        <w:rPr>
          <w:szCs w:val="24"/>
        </w:rPr>
        <w:lastRenderedPageBreak/>
        <w:t xml:space="preserve">Itemized </w:t>
      </w:r>
      <w:r w:rsidR="0025455B">
        <w:rPr>
          <w:szCs w:val="24"/>
        </w:rPr>
        <w:t>Student Expenses</w:t>
      </w:r>
      <w:r w:rsidR="00A43D22">
        <w:rPr>
          <w:szCs w:val="24"/>
        </w:rPr>
        <w:t xml:space="preserve"> per Semester</w:t>
      </w:r>
    </w:p>
    <w:p w:rsidR="007B7CAD" w:rsidRPr="007B7CAD" w:rsidRDefault="002D25EB" w:rsidP="007B7CAD">
      <w:pPr>
        <w:jc w:val="center"/>
        <w:rPr>
          <w:b/>
        </w:rPr>
      </w:pPr>
      <w:r>
        <w:rPr>
          <w:b/>
        </w:rPr>
        <w:t>2021-2022</w:t>
      </w:r>
    </w:p>
    <w:p w:rsidR="00DC6A51" w:rsidRPr="007B7CAD" w:rsidRDefault="00DC6A51" w:rsidP="003A08D2">
      <w:pPr>
        <w:jc w:val="center"/>
      </w:pPr>
    </w:p>
    <w:p w:rsidR="00DC6A51" w:rsidRPr="007B7CAD" w:rsidRDefault="005304A8" w:rsidP="00DA0585">
      <w:pPr>
        <w:tabs>
          <w:tab w:val="left" w:pos="450"/>
        </w:tabs>
        <w:ind w:left="450" w:hanging="90"/>
      </w:pPr>
      <w:r>
        <w:t xml:space="preserve">  </w:t>
      </w:r>
    </w:p>
    <w:p w:rsidR="003A08D2" w:rsidRPr="003A08D2" w:rsidRDefault="003A08D2" w:rsidP="003A08D2"/>
    <w:tbl>
      <w:tblPr>
        <w:tblW w:w="106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90"/>
        <w:gridCol w:w="1170"/>
        <w:gridCol w:w="2520"/>
        <w:gridCol w:w="1170"/>
        <w:gridCol w:w="1530"/>
      </w:tblGrid>
      <w:tr w:rsidR="000A300C" w:rsidRPr="00284A5A" w:rsidTr="002D25EB">
        <w:trPr>
          <w:cantSplit/>
          <w:trHeight w:val="284"/>
        </w:trPr>
        <w:tc>
          <w:tcPr>
            <w:tcW w:w="144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701CB" w:rsidRPr="00284A5A" w:rsidRDefault="005701CB" w:rsidP="002D4930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5701CB" w:rsidRDefault="005701CB" w:rsidP="005701CB">
            <w:pPr>
              <w:pStyle w:val="Heading1"/>
              <w:jc w:val="center"/>
              <w:rPr>
                <w:sz w:val="20"/>
              </w:rPr>
            </w:pPr>
            <w:r w:rsidRPr="00284A5A">
              <w:rPr>
                <w:sz w:val="20"/>
              </w:rPr>
              <w:t>FALL</w:t>
            </w:r>
            <w:r>
              <w:rPr>
                <w:sz w:val="20"/>
              </w:rPr>
              <w:t xml:space="preserve"> SEMESTER</w:t>
            </w:r>
          </w:p>
          <w:p w:rsidR="00300B8A" w:rsidRPr="00300B8A" w:rsidRDefault="00300B8A" w:rsidP="00300B8A"/>
        </w:tc>
        <w:tc>
          <w:tcPr>
            <w:tcW w:w="369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01CB" w:rsidRPr="00284A5A" w:rsidRDefault="005701CB" w:rsidP="005701CB">
            <w:pPr>
              <w:pStyle w:val="Heading1"/>
              <w:jc w:val="center"/>
              <w:rPr>
                <w:sz w:val="20"/>
              </w:rPr>
            </w:pPr>
            <w:r w:rsidRPr="00284A5A">
              <w:rPr>
                <w:sz w:val="20"/>
              </w:rPr>
              <w:t>SPRING</w:t>
            </w:r>
            <w:r>
              <w:rPr>
                <w:sz w:val="20"/>
              </w:rPr>
              <w:t xml:space="preserve"> SEMESTER</w:t>
            </w:r>
          </w:p>
        </w:tc>
        <w:tc>
          <w:tcPr>
            <w:tcW w:w="1530" w:type="dxa"/>
            <w:vMerge w:val="restart"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7D0CC3" w:rsidRPr="00284A5A" w:rsidRDefault="00360ECB" w:rsidP="000A30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4D17FA">
              <w:rPr>
                <w:b/>
                <w:sz w:val="20"/>
                <w:szCs w:val="20"/>
              </w:rPr>
              <w:t xml:space="preserve">PROGRAM </w:t>
            </w:r>
            <w:r w:rsidR="000A300C">
              <w:rPr>
                <w:b/>
                <w:sz w:val="20"/>
                <w:szCs w:val="20"/>
              </w:rPr>
              <w:t>EXPENSES</w:t>
            </w:r>
          </w:p>
        </w:tc>
      </w:tr>
      <w:tr w:rsidR="001420F8" w:rsidRPr="00284A5A" w:rsidTr="002D25EB">
        <w:trPr>
          <w:cantSplit/>
          <w:trHeight w:val="251"/>
        </w:trPr>
        <w:tc>
          <w:tcPr>
            <w:tcW w:w="1440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701CB" w:rsidRDefault="005701CB" w:rsidP="002D4930">
            <w:pPr>
              <w:pStyle w:val="Heading1"/>
              <w:jc w:val="center"/>
              <w:rPr>
                <w:sz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01CB" w:rsidRDefault="005701CB" w:rsidP="003A3D2A">
            <w:pPr>
              <w:jc w:val="center"/>
              <w:rPr>
                <w:b/>
                <w:sz w:val="20"/>
                <w:szCs w:val="20"/>
              </w:rPr>
            </w:pPr>
            <w:r w:rsidRPr="005701CB">
              <w:rPr>
                <w:b/>
                <w:sz w:val="20"/>
                <w:szCs w:val="20"/>
              </w:rPr>
              <w:t>Description</w:t>
            </w:r>
            <w:r w:rsidR="000A300C">
              <w:rPr>
                <w:b/>
                <w:sz w:val="20"/>
                <w:szCs w:val="20"/>
              </w:rPr>
              <w:t>s</w:t>
            </w:r>
          </w:p>
          <w:p w:rsidR="00300B8A" w:rsidRPr="005701CB" w:rsidRDefault="00300B8A" w:rsidP="003A3D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701CB" w:rsidRPr="005701CB" w:rsidRDefault="000A300C" w:rsidP="003A3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Expenses</w:t>
            </w:r>
          </w:p>
        </w:tc>
        <w:tc>
          <w:tcPr>
            <w:tcW w:w="252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5701CB" w:rsidRPr="005701CB" w:rsidRDefault="005701CB" w:rsidP="003A3D2A">
            <w:pPr>
              <w:jc w:val="center"/>
              <w:rPr>
                <w:b/>
                <w:sz w:val="20"/>
                <w:szCs w:val="20"/>
              </w:rPr>
            </w:pPr>
            <w:r w:rsidRPr="005701CB">
              <w:rPr>
                <w:b/>
                <w:sz w:val="20"/>
                <w:szCs w:val="20"/>
              </w:rPr>
              <w:t>Description</w:t>
            </w:r>
            <w:r w:rsidR="000A300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17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5701CB" w:rsidRPr="005701CB" w:rsidRDefault="000A300C" w:rsidP="003A3D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Expenses</w:t>
            </w:r>
          </w:p>
        </w:tc>
        <w:tc>
          <w:tcPr>
            <w:tcW w:w="1530" w:type="dxa"/>
            <w:vMerge/>
            <w:tcBorders>
              <w:left w:val="single" w:sz="18" w:space="0" w:color="auto"/>
            </w:tcBorders>
            <w:shd w:val="clear" w:color="auto" w:fill="DBE5F1" w:themeFill="accent1" w:themeFillTint="33"/>
          </w:tcPr>
          <w:p w:rsidR="005701CB" w:rsidRPr="00284A5A" w:rsidRDefault="005701CB" w:rsidP="00586632">
            <w:pPr>
              <w:pStyle w:val="Heading1"/>
              <w:rPr>
                <w:b w:val="0"/>
                <w:sz w:val="20"/>
              </w:rPr>
            </w:pPr>
          </w:p>
        </w:tc>
      </w:tr>
      <w:tr w:rsidR="000A300C" w:rsidRPr="00284A5A" w:rsidTr="002D25EB">
        <w:tc>
          <w:tcPr>
            <w:tcW w:w="144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5694A" w:rsidRPr="004D17FA" w:rsidRDefault="00F75B45" w:rsidP="00E46C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Tuition ($3.0</w:t>
            </w:r>
            <w:r w:rsidR="005701CB" w:rsidRPr="004D17FA">
              <w:rPr>
                <w:b/>
                <w:sz w:val="22"/>
                <w:szCs w:val="22"/>
              </w:rPr>
              <w:t>0/</w:t>
            </w:r>
          </w:p>
          <w:p w:rsidR="005701CB" w:rsidRPr="004D17FA" w:rsidRDefault="00E46C92" w:rsidP="00E46C92">
            <w:pPr>
              <w:rPr>
                <w:b/>
                <w:sz w:val="22"/>
                <w:szCs w:val="22"/>
              </w:rPr>
            </w:pPr>
            <w:r w:rsidRPr="004D17FA">
              <w:rPr>
                <w:b/>
                <w:sz w:val="22"/>
                <w:szCs w:val="22"/>
              </w:rPr>
              <w:t>Hou</w:t>
            </w:r>
            <w:r w:rsidR="005701CB" w:rsidRPr="004D17FA">
              <w:rPr>
                <w:b/>
                <w:sz w:val="22"/>
                <w:szCs w:val="22"/>
              </w:rPr>
              <w:t>r)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701CB" w:rsidRPr="0075694A" w:rsidRDefault="005701CB" w:rsidP="0063155E">
            <w:pPr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5</w:t>
            </w:r>
            <w:r w:rsidR="0063155E">
              <w:rPr>
                <w:sz w:val="22"/>
                <w:szCs w:val="22"/>
              </w:rPr>
              <w:t>84</w:t>
            </w:r>
            <w:r w:rsidRPr="0075694A">
              <w:rPr>
                <w:sz w:val="22"/>
                <w:szCs w:val="22"/>
              </w:rPr>
              <w:t xml:space="preserve"> Hours 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01CB" w:rsidRPr="0075694A" w:rsidRDefault="00A6444F" w:rsidP="0063155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F75B45">
              <w:rPr>
                <w:sz w:val="22"/>
                <w:szCs w:val="22"/>
              </w:rPr>
              <w:t>1752</w:t>
            </w:r>
            <w:r w:rsidR="005701CB" w:rsidRPr="0075694A">
              <w:rPr>
                <w:sz w:val="22"/>
                <w:szCs w:val="22"/>
              </w:rPr>
              <w:t>.00</w:t>
            </w:r>
          </w:p>
        </w:tc>
        <w:tc>
          <w:tcPr>
            <w:tcW w:w="25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701CB" w:rsidRPr="0075694A" w:rsidRDefault="005701CB" w:rsidP="0063155E">
            <w:pPr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6</w:t>
            </w:r>
            <w:r w:rsidR="0063155E">
              <w:rPr>
                <w:sz w:val="22"/>
                <w:szCs w:val="22"/>
              </w:rPr>
              <w:t>23</w:t>
            </w:r>
            <w:r w:rsidRPr="0075694A">
              <w:rPr>
                <w:sz w:val="22"/>
                <w:szCs w:val="22"/>
              </w:rPr>
              <w:t xml:space="preserve"> Hours </w:t>
            </w:r>
          </w:p>
        </w:tc>
        <w:tc>
          <w:tcPr>
            <w:tcW w:w="11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01CB" w:rsidRPr="0075694A" w:rsidRDefault="00B93F6C" w:rsidP="0063155E">
            <w:pPr>
              <w:jc w:val="right"/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$</w:t>
            </w:r>
            <w:r w:rsidR="00F75B45">
              <w:rPr>
                <w:sz w:val="22"/>
                <w:szCs w:val="22"/>
              </w:rPr>
              <w:t>1869</w:t>
            </w:r>
            <w:r w:rsidR="005701CB" w:rsidRPr="0075694A">
              <w:rPr>
                <w:sz w:val="22"/>
                <w:szCs w:val="22"/>
              </w:rPr>
              <w:t>.00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5701CB" w:rsidRPr="008D73AE" w:rsidRDefault="00B93F6C" w:rsidP="0063155E">
            <w:pPr>
              <w:jc w:val="right"/>
              <w:rPr>
                <w:b/>
                <w:sz w:val="22"/>
                <w:szCs w:val="22"/>
              </w:rPr>
            </w:pPr>
            <w:r w:rsidRPr="008D73AE">
              <w:rPr>
                <w:b/>
                <w:sz w:val="22"/>
                <w:szCs w:val="22"/>
              </w:rPr>
              <w:t>$</w:t>
            </w:r>
            <w:r w:rsidR="00F75B45">
              <w:rPr>
                <w:b/>
                <w:sz w:val="22"/>
                <w:szCs w:val="22"/>
              </w:rPr>
              <w:t>3,621</w:t>
            </w:r>
            <w:r w:rsidR="005701CB" w:rsidRPr="008D73AE">
              <w:rPr>
                <w:b/>
                <w:sz w:val="22"/>
                <w:szCs w:val="22"/>
              </w:rPr>
              <w:t>.00</w:t>
            </w:r>
          </w:p>
        </w:tc>
      </w:tr>
      <w:tr w:rsidR="000A300C" w:rsidRPr="00284A5A" w:rsidTr="002D25EB">
        <w:trPr>
          <w:trHeight w:val="741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701CB" w:rsidRPr="004D17FA" w:rsidRDefault="005701CB" w:rsidP="00E57C8D">
            <w:pPr>
              <w:rPr>
                <w:b/>
                <w:sz w:val="22"/>
                <w:szCs w:val="22"/>
              </w:rPr>
            </w:pPr>
            <w:r w:rsidRPr="004D17FA">
              <w:rPr>
                <w:b/>
                <w:sz w:val="22"/>
                <w:szCs w:val="22"/>
              </w:rPr>
              <w:t>Curriculum Resources</w:t>
            </w:r>
          </w:p>
          <w:p w:rsidR="005701CB" w:rsidRPr="004D17FA" w:rsidRDefault="005701CB" w:rsidP="00E57C8D">
            <w:pPr>
              <w:rPr>
                <w:b/>
                <w:sz w:val="22"/>
                <w:szCs w:val="22"/>
              </w:rPr>
            </w:pPr>
          </w:p>
          <w:p w:rsidR="008B3B05" w:rsidRPr="004D17FA" w:rsidRDefault="008B3B05" w:rsidP="00E57C8D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8F5F83" w:rsidRPr="0075694A" w:rsidRDefault="008F5F83" w:rsidP="00E57C8D">
            <w:pPr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Textbooks; Online curriculum resources; ATI Comprehensive Assessments</w:t>
            </w:r>
          </w:p>
          <w:p w:rsidR="00F70E20" w:rsidRPr="0075694A" w:rsidRDefault="008F5F83" w:rsidP="008F5F83">
            <w:pPr>
              <w:rPr>
                <w:i/>
                <w:sz w:val="22"/>
                <w:szCs w:val="22"/>
              </w:rPr>
            </w:pPr>
            <w:r w:rsidRPr="0075694A">
              <w:rPr>
                <w:i/>
                <w:sz w:val="22"/>
                <w:szCs w:val="22"/>
              </w:rPr>
              <w:t>(Items will be used fall/spring semesters)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43AFE" w:rsidRPr="0075694A" w:rsidRDefault="00A6444F" w:rsidP="006B2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</w:t>
            </w:r>
            <w:r w:rsidR="00316F57">
              <w:rPr>
                <w:sz w:val="22"/>
                <w:szCs w:val="22"/>
              </w:rPr>
              <w:t>4</w:t>
            </w:r>
            <w:r w:rsidR="004F59AA">
              <w:rPr>
                <w:sz w:val="22"/>
                <w:szCs w:val="22"/>
              </w:rPr>
              <w:t>2</w:t>
            </w:r>
            <w:r w:rsidR="00316F57">
              <w:rPr>
                <w:sz w:val="22"/>
                <w:szCs w:val="22"/>
              </w:rPr>
              <w:t>8</w:t>
            </w:r>
            <w:r w:rsidR="008F5F83" w:rsidRPr="0075694A">
              <w:rPr>
                <w:sz w:val="22"/>
                <w:szCs w:val="22"/>
              </w:rPr>
              <w:t>.00</w:t>
            </w:r>
          </w:p>
          <w:p w:rsidR="00F70E20" w:rsidRPr="0075694A" w:rsidRDefault="00F70E20" w:rsidP="00F70E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B3B05" w:rsidRPr="0075694A" w:rsidRDefault="00F75B45" w:rsidP="00E57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NCLEX prep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B239E" w:rsidRPr="0075694A" w:rsidRDefault="00B93F6C" w:rsidP="0063155E">
            <w:pPr>
              <w:jc w:val="right"/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$</w:t>
            </w:r>
            <w:r w:rsidR="00F75B45">
              <w:rPr>
                <w:sz w:val="22"/>
                <w:szCs w:val="22"/>
              </w:rPr>
              <w:t>25</w:t>
            </w:r>
            <w:r w:rsidR="00F70E20" w:rsidRPr="0075694A">
              <w:rPr>
                <w:sz w:val="22"/>
                <w:szCs w:val="22"/>
              </w:rPr>
              <w:t>0</w:t>
            </w:r>
            <w:r w:rsidR="006B239E" w:rsidRPr="0075694A">
              <w:rPr>
                <w:sz w:val="22"/>
                <w:szCs w:val="22"/>
              </w:rPr>
              <w:t>.00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8B3B05" w:rsidRPr="008D73AE" w:rsidRDefault="00B93F6C" w:rsidP="00C17321">
            <w:pPr>
              <w:jc w:val="right"/>
              <w:rPr>
                <w:b/>
                <w:sz w:val="22"/>
                <w:szCs w:val="22"/>
              </w:rPr>
            </w:pPr>
            <w:r w:rsidRPr="008D73AE">
              <w:rPr>
                <w:b/>
                <w:sz w:val="22"/>
                <w:szCs w:val="22"/>
              </w:rPr>
              <w:t>$</w:t>
            </w:r>
            <w:r w:rsidR="005701CB" w:rsidRPr="008D73AE">
              <w:rPr>
                <w:b/>
                <w:sz w:val="22"/>
                <w:szCs w:val="22"/>
              </w:rPr>
              <w:t>1,</w:t>
            </w:r>
            <w:r w:rsidR="004F59AA">
              <w:rPr>
                <w:b/>
                <w:sz w:val="22"/>
                <w:szCs w:val="22"/>
              </w:rPr>
              <w:t>67</w:t>
            </w:r>
            <w:r w:rsidR="00316F57">
              <w:rPr>
                <w:b/>
                <w:sz w:val="22"/>
                <w:szCs w:val="22"/>
              </w:rPr>
              <w:t>8</w:t>
            </w:r>
            <w:r w:rsidR="005701CB" w:rsidRPr="008D73AE">
              <w:rPr>
                <w:b/>
                <w:sz w:val="22"/>
                <w:szCs w:val="22"/>
              </w:rPr>
              <w:t>.00</w:t>
            </w:r>
          </w:p>
        </w:tc>
      </w:tr>
      <w:tr w:rsidR="000A300C" w:rsidRPr="00284A5A" w:rsidTr="002D25EB"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5701CB" w:rsidRPr="004D17FA" w:rsidRDefault="009873D3" w:rsidP="00AD0313">
            <w:pPr>
              <w:rPr>
                <w:b/>
                <w:sz w:val="22"/>
                <w:szCs w:val="22"/>
              </w:rPr>
            </w:pPr>
            <w:r w:rsidRPr="004D17FA">
              <w:rPr>
                <w:b/>
                <w:sz w:val="22"/>
                <w:szCs w:val="22"/>
              </w:rPr>
              <w:t>Clinical Fees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5701CB" w:rsidRPr="0075694A" w:rsidRDefault="00F70E20" w:rsidP="0065240D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National</w:t>
            </w:r>
            <w:r w:rsidR="00BC14F1" w:rsidRPr="0075694A">
              <w:rPr>
                <w:sz w:val="22"/>
                <w:szCs w:val="22"/>
              </w:rPr>
              <w:t xml:space="preserve"> Background Check</w:t>
            </w:r>
          </w:p>
          <w:p w:rsidR="005701CB" w:rsidRPr="0075694A" w:rsidRDefault="005701CB" w:rsidP="00AD0313">
            <w:pPr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Drug Screen</w:t>
            </w:r>
            <w:r w:rsidR="008F5F83" w:rsidRPr="0075694A">
              <w:rPr>
                <w:sz w:val="22"/>
                <w:szCs w:val="22"/>
              </w:rPr>
              <w:t xml:space="preserve"> </w:t>
            </w:r>
          </w:p>
          <w:p w:rsidR="00794FA5" w:rsidRPr="0075694A" w:rsidDel="00AA4257" w:rsidRDefault="0063155E" w:rsidP="00A63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Portal (</w:t>
            </w:r>
            <w:proofErr w:type="spellStart"/>
            <w:r>
              <w:rPr>
                <w:sz w:val="22"/>
                <w:szCs w:val="22"/>
              </w:rPr>
              <w:t>mCE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01CB" w:rsidRPr="0075694A" w:rsidRDefault="00B93F6C" w:rsidP="005701CB">
            <w:pPr>
              <w:jc w:val="right"/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$</w:t>
            </w:r>
            <w:r w:rsidR="00580C3D">
              <w:rPr>
                <w:sz w:val="22"/>
                <w:szCs w:val="22"/>
              </w:rPr>
              <w:t>49</w:t>
            </w:r>
            <w:r w:rsidR="005701CB" w:rsidRPr="0075694A">
              <w:rPr>
                <w:sz w:val="22"/>
                <w:szCs w:val="22"/>
              </w:rPr>
              <w:t>.00</w:t>
            </w:r>
          </w:p>
          <w:p w:rsidR="005701CB" w:rsidRPr="0075694A" w:rsidRDefault="00B93F6C" w:rsidP="005701CB">
            <w:pPr>
              <w:jc w:val="right"/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$</w:t>
            </w:r>
            <w:r w:rsidR="00F75B45">
              <w:rPr>
                <w:sz w:val="22"/>
                <w:szCs w:val="22"/>
              </w:rPr>
              <w:t>3</w:t>
            </w:r>
            <w:r w:rsidR="00580C3D">
              <w:rPr>
                <w:sz w:val="22"/>
                <w:szCs w:val="22"/>
              </w:rPr>
              <w:t>0</w:t>
            </w:r>
            <w:r w:rsidR="005701CB" w:rsidRPr="0075694A">
              <w:rPr>
                <w:sz w:val="22"/>
                <w:szCs w:val="22"/>
              </w:rPr>
              <w:t>.00</w:t>
            </w:r>
          </w:p>
          <w:p w:rsidR="00F70E20" w:rsidRPr="0075694A" w:rsidDel="00AA4257" w:rsidRDefault="00F70E20" w:rsidP="0063155E">
            <w:pPr>
              <w:jc w:val="right"/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$</w:t>
            </w:r>
            <w:r w:rsidR="00580C3D">
              <w:rPr>
                <w:sz w:val="22"/>
                <w:szCs w:val="22"/>
              </w:rPr>
              <w:t>40</w:t>
            </w:r>
            <w:r w:rsidRPr="0075694A">
              <w:rPr>
                <w:sz w:val="22"/>
                <w:szCs w:val="22"/>
              </w:rPr>
              <w:t>.</w:t>
            </w:r>
            <w:r w:rsidR="00580C3D">
              <w:rPr>
                <w:sz w:val="22"/>
                <w:szCs w:val="22"/>
              </w:rPr>
              <w:t>0</w:t>
            </w:r>
            <w:r w:rsidRPr="0075694A"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5701CB" w:rsidRPr="0075694A" w:rsidDel="00AA4257" w:rsidRDefault="008F5F83" w:rsidP="008F5F83">
            <w:pPr>
              <w:rPr>
                <w:i/>
                <w:sz w:val="22"/>
                <w:szCs w:val="22"/>
              </w:rPr>
            </w:pPr>
            <w:r w:rsidRPr="0075694A">
              <w:rPr>
                <w:i/>
                <w:sz w:val="22"/>
                <w:szCs w:val="22"/>
              </w:rPr>
              <w:t>(Additional background and/or drug screens, if required.)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5701CB" w:rsidRPr="0075694A" w:rsidDel="00AA4257" w:rsidRDefault="005701CB" w:rsidP="0065240D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5701CB" w:rsidRPr="008D73AE" w:rsidDel="00AA4257" w:rsidRDefault="00B93F6C" w:rsidP="0063155E">
            <w:pPr>
              <w:jc w:val="right"/>
              <w:rPr>
                <w:b/>
                <w:sz w:val="22"/>
                <w:szCs w:val="22"/>
              </w:rPr>
            </w:pPr>
            <w:r w:rsidRPr="008D73AE">
              <w:rPr>
                <w:b/>
                <w:sz w:val="22"/>
                <w:szCs w:val="22"/>
              </w:rPr>
              <w:t>$</w:t>
            </w:r>
            <w:r w:rsidR="00A630A3" w:rsidRPr="008D73AE">
              <w:rPr>
                <w:b/>
                <w:sz w:val="22"/>
                <w:szCs w:val="22"/>
              </w:rPr>
              <w:t>1</w:t>
            </w:r>
            <w:r w:rsidR="00F75B45">
              <w:rPr>
                <w:b/>
                <w:sz w:val="22"/>
                <w:szCs w:val="22"/>
              </w:rPr>
              <w:t>1</w:t>
            </w:r>
            <w:r w:rsidR="00580C3D">
              <w:rPr>
                <w:b/>
                <w:sz w:val="22"/>
                <w:szCs w:val="22"/>
              </w:rPr>
              <w:t>9.0</w:t>
            </w:r>
            <w:r w:rsidR="00A36301" w:rsidRPr="008D73AE">
              <w:rPr>
                <w:b/>
                <w:sz w:val="22"/>
                <w:szCs w:val="22"/>
              </w:rPr>
              <w:t>0</w:t>
            </w:r>
          </w:p>
        </w:tc>
      </w:tr>
      <w:tr w:rsidR="000A300C" w:rsidRPr="00284A5A" w:rsidTr="002D25EB">
        <w:trPr>
          <w:trHeight w:val="669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794FA5" w:rsidRPr="004D17FA" w:rsidRDefault="00794FA5" w:rsidP="00D03BE1">
            <w:pPr>
              <w:rPr>
                <w:b/>
                <w:sz w:val="22"/>
                <w:szCs w:val="22"/>
              </w:rPr>
            </w:pPr>
            <w:r w:rsidRPr="004D17FA">
              <w:rPr>
                <w:b/>
                <w:sz w:val="22"/>
                <w:szCs w:val="22"/>
              </w:rPr>
              <w:t xml:space="preserve">Program and Supply Fees </w:t>
            </w:r>
          </w:p>
          <w:p w:rsidR="00794FA5" w:rsidRPr="004D17FA" w:rsidRDefault="00794FA5" w:rsidP="002D4930">
            <w:pPr>
              <w:rPr>
                <w:b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C34027" w:rsidRPr="0075694A" w:rsidRDefault="00794FA5" w:rsidP="00C34027">
            <w:pPr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Skills lab supply kit</w:t>
            </w:r>
            <w:r w:rsidR="00597BEE" w:rsidRPr="0075694A">
              <w:rPr>
                <w:sz w:val="22"/>
                <w:szCs w:val="22"/>
              </w:rPr>
              <w:t xml:space="preserve">  </w:t>
            </w:r>
            <w:r w:rsidR="00C34027" w:rsidRPr="0075694A">
              <w:rPr>
                <w:sz w:val="22"/>
                <w:szCs w:val="22"/>
              </w:rPr>
              <w:t xml:space="preserve">  </w:t>
            </w:r>
          </w:p>
          <w:p w:rsidR="00C34027" w:rsidRPr="0075694A" w:rsidRDefault="00C34027" w:rsidP="00C34027">
            <w:pPr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T</w:t>
            </w:r>
            <w:r w:rsidR="00300B8A" w:rsidRPr="0075694A">
              <w:rPr>
                <w:sz w:val="22"/>
                <w:szCs w:val="22"/>
              </w:rPr>
              <w:t>wo</w:t>
            </w:r>
            <w:r w:rsidR="00794FA5" w:rsidRPr="0075694A">
              <w:rPr>
                <w:sz w:val="22"/>
                <w:szCs w:val="22"/>
              </w:rPr>
              <w:t xml:space="preserve"> sets </w:t>
            </w:r>
            <w:r w:rsidR="00300B8A" w:rsidRPr="0075694A">
              <w:rPr>
                <w:sz w:val="22"/>
                <w:szCs w:val="22"/>
              </w:rPr>
              <w:t>uniforms</w:t>
            </w:r>
            <w:r w:rsidRPr="0075694A">
              <w:rPr>
                <w:sz w:val="22"/>
                <w:szCs w:val="22"/>
              </w:rPr>
              <w:t xml:space="preserve">; </w:t>
            </w:r>
            <w:r w:rsidR="00300B8A" w:rsidRPr="0075694A">
              <w:rPr>
                <w:sz w:val="22"/>
                <w:szCs w:val="22"/>
              </w:rPr>
              <w:t xml:space="preserve">one </w:t>
            </w:r>
            <w:r w:rsidR="00794FA5" w:rsidRPr="0075694A">
              <w:rPr>
                <w:sz w:val="22"/>
                <w:szCs w:val="22"/>
              </w:rPr>
              <w:t>lab coat</w:t>
            </w:r>
          </w:p>
          <w:p w:rsidR="00C34027" w:rsidRPr="0075694A" w:rsidRDefault="00C34027" w:rsidP="00C34027">
            <w:pPr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T</w:t>
            </w:r>
            <w:r w:rsidR="00300B8A" w:rsidRPr="0075694A">
              <w:rPr>
                <w:sz w:val="22"/>
                <w:szCs w:val="22"/>
              </w:rPr>
              <w:t xml:space="preserve">wo </w:t>
            </w:r>
            <w:r w:rsidR="00794FA5" w:rsidRPr="0075694A">
              <w:rPr>
                <w:sz w:val="22"/>
                <w:szCs w:val="22"/>
              </w:rPr>
              <w:t>name tags</w:t>
            </w:r>
          </w:p>
          <w:p w:rsidR="00C83BE6" w:rsidRPr="0075694A" w:rsidRDefault="00C34027" w:rsidP="00C34027">
            <w:pPr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T</w:t>
            </w:r>
            <w:r w:rsidR="00300B8A" w:rsidRPr="0075694A">
              <w:rPr>
                <w:sz w:val="22"/>
                <w:szCs w:val="22"/>
              </w:rPr>
              <w:t xml:space="preserve">hree </w:t>
            </w:r>
            <w:r w:rsidR="00794FA5" w:rsidRPr="0075694A">
              <w:rPr>
                <w:sz w:val="22"/>
                <w:szCs w:val="22"/>
              </w:rPr>
              <w:t>uniform patches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34027" w:rsidRPr="0075694A" w:rsidRDefault="00C34027" w:rsidP="00F70E20">
            <w:pPr>
              <w:jc w:val="right"/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$</w:t>
            </w:r>
            <w:r w:rsidR="00F75B45">
              <w:rPr>
                <w:sz w:val="22"/>
                <w:szCs w:val="22"/>
              </w:rPr>
              <w:t>51</w:t>
            </w:r>
            <w:r w:rsidRPr="0075694A">
              <w:rPr>
                <w:sz w:val="22"/>
                <w:szCs w:val="22"/>
              </w:rPr>
              <w:t>.00</w:t>
            </w:r>
          </w:p>
          <w:p w:rsidR="00C34027" w:rsidRDefault="00C34027" w:rsidP="00F70E20">
            <w:pPr>
              <w:jc w:val="right"/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$</w:t>
            </w:r>
            <w:r w:rsidR="00503CDB">
              <w:rPr>
                <w:sz w:val="22"/>
                <w:szCs w:val="22"/>
              </w:rPr>
              <w:t>1</w:t>
            </w:r>
            <w:r w:rsidR="0063155E">
              <w:rPr>
                <w:sz w:val="22"/>
                <w:szCs w:val="22"/>
              </w:rPr>
              <w:t>25</w:t>
            </w:r>
            <w:r w:rsidRPr="0075694A">
              <w:rPr>
                <w:sz w:val="22"/>
                <w:szCs w:val="22"/>
              </w:rPr>
              <w:t>.00</w:t>
            </w:r>
          </w:p>
          <w:p w:rsidR="0075694A" w:rsidRPr="0075694A" w:rsidRDefault="0075694A" w:rsidP="00F70E20">
            <w:pPr>
              <w:jc w:val="right"/>
              <w:rPr>
                <w:sz w:val="22"/>
                <w:szCs w:val="22"/>
              </w:rPr>
            </w:pPr>
          </w:p>
          <w:p w:rsidR="00C34027" w:rsidRPr="0075694A" w:rsidRDefault="00580C3D" w:rsidP="00F70E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$20</w:t>
            </w:r>
            <w:r w:rsidR="00C34027" w:rsidRPr="0075694A">
              <w:rPr>
                <w:sz w:val="22"/>
                <w:szCs w:val="22"/>
              </w:rPr>
              <w:t>.00</w:t>
            </w:r>
          </w:p>
          <w:p w:rsidR="00C34027" w:rsidRPr="0075694A" w:rsidRDefault="00580C3D" w:rsidP="00A630A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$19</w:t>
            </w:r>
            <w:r w:rsidR="00C34027" w:rsidRPr="0075694A">
              <w:rPr>
                <w:sz w:val="22"/>
                <w:szCs w:val="22"/>
              </w:rPr>
              <w:t>.00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794FA5" w:rsidRPr="0075694A" w:rsidRDefault="00794FA5" w:rsidP="006D6B13">
            <w:pPr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Graduation fee</w:t>
            </w:r>
          </w:p>
          <w:p w:rsidR="00B93F6C" w:rsidRPr="0075694A" w:rsidRDefault="00B93F6C" w:rsidP="00B93F6C">
            <w:pPr>
              <w:pStyle w:val="Heading3"/>
              <w:jc w:val="left"/>
              <w:rPr>
                <w:b w:val="0"/>
                <w:szCs w:val="22"/>
              </w:rPr>
            </w:pPr>
            <w:r w:rsidRPr="0075694A">
              <w:rPr>
                <w:b w:val="0"/>
                <w:szCs w:val="22"/>
              </w:rPr>
              <w:t xml:space="preserve">Nursing Licensure Exam </w:t>
            </w:r>
            <w:r w:rsidR="006975DD" w:rsidRPr="0075694A">
              <w:rPr>
                <w:b w:val="0"/>
                <w:szCs w:val="22"/>
              </w:rPr>
              <w:t>Fee</w:t>
            </w:r>
            <w:r w:rsidR="00EB4AE4">
              <w:rPr>
                <w:b w:val="0"/>
                <w:szCs w:val="22"/>
              </w:rPr>
              <w:t xml:space="preserve"> </w:t>
            </w:r>
            <w:r w:rsidRPr="0075694A">
              <w:rPr>
                <w:b w:val="0"/>
                <w:szCs w:val="22"/>
              </w:rPr>
              <w:t>(NCLEX-PN)</w:t>
            </w:r>
          </w:p>
          <w:p w:rsidR="00B93F6C" w:rsidRPr="0075694A" w:rsidRDefault="00B93F6C" w:rsidP="00B93F6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93F6C" w:rsidRPr="0075694A" w:rsidRDefault="00B93F6C" w:rsidP="00A36301">
            <w:pPr>
              <w:jc w:val="right"/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$</w:t>
            </w:r>
            <w:r w:rsidR="00F70E20" w:rsidRPr="0075694A">
              <w:rPr>
                <w:sz w:val="22"/>
                <w:szCs w:val="22"/>
              </w:rPr>
              <w:t>100</w:t>
            </w:r>
            <w:r w:rsidR="00794FA5" w:rsidRPr="0075694A">
              <w:rPr>
                <w:sz w:val="22"/>
                <w:szCs w:val="22"/>
              </w:rPr>
              <w:t>.00</w:t>
            </w:r>
          </w:p>
          <w:p w:rsidR="00794FA5" w:rsidRPr="0075694A" w:rsidRDefault="00B93F6C" w:rsidP="00A36301">
            <w:pPr>
              <w:jc w:val="right"/>
              <w:rPr>
                <w:sz w:val="22"/>
                <w:szCs w:val="22"/>
              </w:rPr>
            </w:pPr>
            <w:r w:rsidRPr="0075694A">
              <w:rPr>
                <w:sz w:val="22"/>
                <w:szCs w:val="22"/>
              </w:rPr>
              <w:t>$</w:t>
            </w:r>
            <w:r w:rsidR="00794FA5" w:rsidRPr="0075694A">
              <w:rPr>
                <w:sz w:val="22"/>
                <w:szCs w:val="22"/>
              </w:rPr>
              <w:t>200.00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 w:themeFill="accent1" w:themeFillTint="33"/>
          </w:tcPr>
          <w:p w:rsidR="00794FA5" w:rsidRPr="008D73AE" w:rsidRDefault="00A630A3" w:rsidP="002C21AD">
            <w:pPr>
              <w:jc w:val="right"/>
              <w:rPr>
                <w:b/>
                <w:sz w:val="22"/>
                <w:szCs w:val="22"/>
              </w:rPr>
            </w:pPr>
            <w:r w:rsidRPr="008D73AE">
              <w:rPr>
                <w:b/>
                <w:sz w:val="22"/>
                <w:szCs w:val="22"/>
              </w:rPr>
              <w:t>$</w:t>
            </w:r>
            <w:r w:rsidR="00830C40">
              <w:rPr>
                <w:b/>
                <w:sz w:val="22"/>
                <w:szCs w:val="22"/>
              </w:rPr>
              <w:t>51</w:t>
            </w:r>
            <w:r w:rsidR="00F75B45">
              <w:rPr>
                <w:b/>
                <w:sz w:val="22"/>
                <w:szCs w:val="22"/>
              </w:rPr>
              <w:t>5</w:t>
            </w:r>
            <w:r w:rsidRPr="008D73AE">
              <w:rPr>
                <w:b/>
                <w:sz w:val="22"/>
                <w:szCs w:val="22"/>
              </w:rPr>
              <w:t>.00</w:t>
            </w:r>
          </w:p>
          <w:p w:rsidR="00794FA5" w:rsidRPr="008D73AE" w:rsidRDefault="00794FA5" w:rsidP="002C21AD">
            <w:pPr>
              <w:jc w:val="right"/>
              <w:rPr>
                <w:b/>
                <w:sz w:val="22"/>
                <w:szCs w:val="22"/>
              </w:rPr>
            </w:pPr>
          </w:p>
          <w:p w:rsidR="00794FA5" w:rsidRPr="008D73AE" w:rsidRDefault="00794FA5" w:rsidP="002C21AD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420F8" w:rsidRPr="00284A5A" w:rsidTr="002D25EB">
        <w:tc>
          <w:tcPr>
            <w:tcW w:w="1440" w:type="dxa"/>
            <w:tcBorders>
              <w:top w:val="single" w:sz="1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701CB" w:rsidRPr="00284A5A" w:rsidRDefault="00360ECB" w:rsidP="000A30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0A300C">
              <w:rPr>
                <w:b/>
                <w:sz w:val="20"/>
                <w:szCs w:val="20"/>
              </w:rPr>
              <w:t>PROGRAMEXPENSES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5701CB" w:rsidRPr="00284A5A" w:rsidRDefault="007D0CC3" w:rsidP="00B93F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Fall Semester</w:t>
            </w:r>
          </w:p>
        </w:tc>
        <w:tc>
          <w:tcPr>
            <w:tcW w:w="11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5701CB" w:rsidRPr="00284A5A" w:rsidRDefault="00B93F6C" w:rsidP="00C173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4F59AA">
              <w:rPr>
                <w:b/>
                <w:sz w:val="20"/>
                <w:szCs w:val="20"/>
              </w:rPr>
              <w:t>3,51</w:t>
            </w:r>
            <w:r w:rsidR="00A6444F">
              <w:rPr>
                <w:b/>
                <w:sz w:val="20"/>
                <w:szCs w:val="20"/>
              </w:rPr>
              <w:t>4</w:t>
            </w:r>
            <w:r w:rsidR="00580C3D">
              <w:rPr>
                <w:b/>
                <w:sz w:val="20"/>
                <w:szCs w:val="20"/>
              </w:rPr>
              <w:t>.0</w:t>
            </w:r>
            <w:r w:rsidR="00943AD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7D0CC3" w:rsidRPr="007D0CC3" w:rsidRDefault="007D0CC3" w:rsidP="00B93F6C">
            <w:pPr>
              <w:jc w:val="center"/>
              <w:rPr>
                <w:b/>
                <w:sz w:val="20"/>
                <w:szCs w:val="20"/>
              </w:rPr>
            </w:pPr>
            <w:r w:rsidRPr="007D0CC3">
              <w:rPr>
                <w:b/>
                <w:sz w:val="20"/>
                <w:szCs w:val="20"/>
              </w:rPr>
              <w:t>Spring Semester</w:t>
            </w:r>
          </w:p>
        </w:tc>
        <w:tc>
          <w:tcPr>
            <w:tcW w:w="11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43AD5" w:rsidRPr="00943AD5" w:rsidRDefault="00B93F6C" w:rsidP="0063155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</w:t>
            </w:r>
            <w:r w:rsidR="00CF6BBD">
              <w:rPr>
                <w:b/>
                <w:sz w:val="20"/>
                <w:szCs w:val="20"/>
              </w:rPr>
              <w:t>2,419</w:t>
            </w:r>
            <w:r w:rsidR="00943AD5" w:rsidRPr="00943AD5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shd w:val="clear" w:color="auto" w:fill="DBE5F1" w:themeFill="accent1" w:themeFillTint="33"/>
          </w:tcPr>
          <w:p w:rsidR="000A300C" w:rsidRPr="00284A5A" w:rsidRDefault="000A300C" w:rsidP="00A43D22">
            <w:pPr>
              <w:jc w:val="right"/>
              <w:rPr>
                <w:b/>
                <w:sz w:val="20"/>
                <w:szCs w:val="20"/>
              </w:rPr>
            </w:pPr>
            <w:r w:rsidRPr="00284A5A">
              <w:rPr>
                <w:b/>
                <w:sz w:val="20"/>
                <w:szCs w:val="20"/>
              </w:rPr>
              <w:t>$</w:t>
            </w:r>
            <w:r w:rsidR="00724ED0">
              <w:rPr>
                <w:b/>
                <w:sz w:val="20"/>
                <w:szCs w:val="20"/>
              </w:rPr>
              <w:t>5,93</w:t>
            </w:r>
            <w:r w:rsidR="00A6444F">
              <w:rPr>
                <w:b/>
                <w:sz w:val="20"/>
                <w:szCs w:val="20"/>
              </w:rPr>
              <w:t>3</w:t>
            </w:r>
            <w:r w:rsidR="00580C3D">
              <w:rPr>
                <w:b/>
                <w:sz w:val="20"/>
                <w:szCs w:val="20"/>
              </w:rPr>
              <w:t>.00</w:t>
            </w:r>
          </w:p>
        </w:tc>
      </w:tr>
    </w:tbl>
    <w:p w:rsidR="00E44076" w:rsidRPr="005304A8" w:rsidRDefault="005304A8" w:rsidP="00E57C8D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</w:t>
      </w:r>
      <w:r w:rsidR="00D40934" w:rsidRPr="005304A8">
        <w:rPr>
          <w:b/>
          <w:i/>
          <w:sz w:val="22"/>
          <w:szCs w:val="22"/>
        </w:rPr>
        <w:t>ALL PRICES ARE SUBJECT TO CHANGE</w:t>
      </w:r>
      <w:r>
        <w:rPr>
          <w:b/>
          <w:i/>
          <w:sz w:val="22"/>
          <w:szCs w:val="22"/>
        </w:rPr>
        <w:t>)</w:t>
      </w:r>
    </w:p>
    <w:p w:rsidR="00AD0313" w:rsidRDefault="00AD0313" w:rsidP="00AD0313">
      <w:pPr>
        <w:rPr>
          <w:sz w:val="20"/>
          <w:szCs w:val="20"/>
        </w:rPr>
      </w:pPr>
    </w:p>
    <w:p w:rsidR="00080A05" w:rsidRPr="00080A05" w:rsidRDefault="00EB4AE4" w:rsidP="00080A05">
      <w:pPr>
        <w:tabs>
          <w:tab w:val="left" w:pos="990"/>
          <w:tab w:val="left" w:pos="3240"/>
        </w:tabs>
        <w:ind w:left="1170" w:hanging="1170"/>
        <w:rPr>
          <w:sz w:val="22"/>
          <w:szCs w:val="22"/>
        </w:rPr>
      </w:pPr>
      <w:r w:rsidRPr="00080A05">
        <w:rPr>
          <w:sz w:val="22"/>
          <w:szCs w:val="22"/>
        </w:rPr>
        <w:t>*</w:t>
      </w:r>
      <w:r w:rsidR="00080A05" w:rsidRPr="00080A05">
        <w:rPr>
          <w:sz w:val="22"/>
          <w:szCs w:val="22"/>
        </w:rPr>
        <w:t xml:space="preserve"> In addition, students are responsible for purchasing the following items on their own: </w:t>
      </w:r>
    </w:p>
    <w:p w:rsidR="00EB4AE4" w:rsidRPr="007B7CAD" w:rsidRDefault="00EB4AE4" w:rsidP="00153AD3">
      <w:pPr>
        <w:tabs>
          <w:tab w:val="left" w:pos="450"/>
          <w:tab w:val="left" w:pos="990"/>
          <w:tab w:val="left" w:pos="3240"/>
        </w:tabs>
        <w:rPr>
          <w:sz w:val="22"/>
          <w:szCs w:val="22"/>
        </w:rPr>
      </w:pPr>
    </w:p>
    <w:p w:rsidR="002D201B" w:rsidRDefault="002D201B" w:rsidP="002D201B">
      <w:pPr>
        <w:pStyle w:val="ListParagraph"/>
        <w:numPr>
          <w:ilvl w:val="0"/>
          <w:numId w:val="5"/>
        </w:numPr>
        <w:tabs>
          <w:tab w:val="left" w:pos="990"/>
          <w:tab w:val="left" w:pos="1710"/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Due by August </w:t>
      </w:r>
      <w:r w:rsidR="00AF32AD">
        <w:rPr>
          <w:sz w:val="22"/>
          <w:szCs w:val="22"/>
        </w:rPr>
        <w:t>9, 2021</w:t>
      </w:r>
      <w:r>
        <w:rPr>
          <w:sz w:val="22"/>
          <w:szCs w:val="22"/>
        </w:rPr>
        <w:t>:</w:t>
      </w:r>
    </w:p>
    <w:p w:rsidR="002D201B" w:rsidRPr="002D201B" w:rsidRDefault="002D201B" w:rsidP="002D201B">
      <w:pPr>
        <w:pStyle w:val="ListParagraph"/>
        <w:numPr>
          <w:ilvl w:val="1"/>
          <w:numId w:val="5"/>
        </w:numPr>
        <w:tabs>
          <w:tab w:val="left" w:pos="990"/>
          <w:tab w:val="left" w:pos="1710"/>
          <w:tab w:val="left" w:pos="2070"/>
        </w:tabs>
        <w:rPr>
          <w:sz w:val="22"/>
          <w:szCs w:val="22"/>
        </w:rPr>
      </w:pPr>
      <w:r w:rsidRPr="002D201B">
        <w:rPr>
          <w:sz w:val="22"/>
          <w:szCs w:val="22"/>
        </w:rPr>
        <w:t>Required immunizations</w:t>
      </w:r>
    </w:p>
    <w:p w:rsidR="002D201B" w:rsidRDefault="002D201B" w:rsidP="002D201B">
      <w:pPr>
        <w:pStyle w:val="ListParagraph"/>
        <w:numPr>
          <w:ilvl w:val="1"/>
          <w:numId w:val="5"/>
        </w:numPr>
        <w:tabs>
          <w:tab w:val="left" w:pos="990"/>
          <w:tab w:val="left" w:pos="1710"/>
          <w:tab w:val="left" w:pos="2070"/>
        </w:tabs>
        <w:rPr>
          <w:sz w:val="22"/>
          <w:szCs w:val="22"/>
        </w:rPr>
      </w:pPr>
      <w:r w:rsidRPr="002D201B">
        <w:rPr>
          <w:sz w:val="22"/>
          <w:szCs w:val="22"/>
        </w:rPr>
        <w:t>BLS-CPR certification</w:t>
      </w:r>
    </w:p>
    <w:p w:rsidR="002D201B" w:rsidRDefault="00CF6BBD" w:rsidP="002D201B">
      <w:pPr>
        <w:pStyle w:val="ListParagraph"/>
        <w:numPr>
          <w:ilvl w:val="0"/>
          <w:numId w:val="5"/>
        </w:numPr>
        <w:tabs>
          <w:tab w:val="left" w:pos="990"/>
          <w:tab w:val="left" w:pos="1710"/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 xml:space="preserve">Due by </w:t>
      </w:r>
      <w:r w:rsidR="00AF32AD">
        <w:rPr>
          <w:sz w:val="22"/>
          <w:szCs w:val="22"/>
        </w:rPr>
        <w:t>August 27, 2021</w:t>
      </w:r>
      <w:r w:rsidR="002D201B">
        <w:rPr>
          <w:sz w:val="22"/>
          <w:szCs w:val="22"/>
        </w:rPr>
        <w:t>:</w:t>
      </w:r>
    </w:p>
    <w:p w:rsidR="002D201B" w:rsidRDefault="00EB4AE4" w:rsidP="002D201B">
      <w:pPr>
        <w:pStyle w:val="ListParagraph"/>
        <w:numPr>
          <w:ilvl w:val="1"/>
          <w:numId w:val="5"/>
        </w:numPr>
        <w:tabs>
          <w:tab w:val="left" w:pos="990"/>
          <w:tab w:val="left" w:pos="1710"/>
          <w:tab w:val="left" w:pos="2070"/>
        </w:tabs>
        <w:rPr>
          <w:sz w:val="22"/>
          <w:szCs w:val="22"/>
        </w:rPr>
      </w:pPr>
      <w:r w:rsidRPr="002D201B">
        <w:rPr>
          <w:sz w:val="22"/>
          <w:szCs w:val="22"/>
        </w:rPr>
        <w:t>White nursing shoes (soak-proof)</w:t>
      </w:r>
    </w:p>
    <w:p w:rsidR="002D201B" w:rsidRDefault="00EB4AE4" w:rsidP="002D201B">
      <w:pPr>
        <w:pStyle w:val="ListParagraph"/>
        <w:numPr>
          <w:ilvl w:val="1"/>
          <w:numId w:val="5"/>
        </w:numPr>
        <w:tabs>
          <w:tab w:val="left" w:pos="990"/>
          <w:tab w:val="left" w:pos="1710"/>
          <w:tab w:val="left" w:pos="2070"/>
        </w:tabs>
        <w:rPr>
          <w:sz w:val="22"/>
          <w:szCs w:val="22"/>
        </w:rPr>
      </w:pPr>
      <w:r w:rsidRPr="002D201B">
        <w:rPr>
          <w:sz w:val="22"/>
          <w:szCs w:val="22"/>
        </w:rPr>
        <w:t>Watch with second hand</w:t>
      </w:r>
    </w:p>
    <w:p w:rsidR="002D201B" w:rsidRDefault="0099460F" w:rsidP="002D201B">
      <w:pPr>
        <w:pStyle w:val="ListParagraph"/>
        <w:numPr>
          <w:ilvl w:val="0"/>
          <w:numId w:val="5"/>
        </w:numPr>
        <w:tabs>
          <w:tab w:val="left" w:pos="990"/>
          <w:tab w:val="left" w:pos="1710"/>
          <w:tab w:val="left" w:pos="2070"/>
        </w:tabs>
        <w:rPr>
          <w:sz w:val="22"/>
          <w:szCs w:val="22"/>
        </w:rPr>
      </w:pPr>
      <w:r>
        <w:rPr>
          <w:sz w:val="22"/>
          <w:szCs w:val="22"/>
        </w:rPr>
        <w:t>Due in May</w:t>
      </w:r>
      <w:r w:rsidR="00C6659F">
        <w:rPr>
          <w:sz w:val="22"/>
          <w:szCs w:val="22"/>
        </w:rPr>
        <w:t xml:space="preserve"> </w:t>
      </w:r>
      <w:r w:rsidR="002A7280">
        <w:rPr>
          <w:sz w:val="22"/>
          <w:szCs w:val="22"/>
        </w:rPr>
        <w:t>202</w:t>
      </w:r>
      <w:r w:rsidR="00AF32AD">
        <w:rPr>
          <w:sz w:val="22"/>
          <w:szCs w:val="22"/>
        </w:rPr>
        <w:t>2</w:t>
      </w:r>
      <w:r w:rsidR="005304A8">
        <w:rPr>
          <w:sz w:val="22"/>
          <w:szCs w:val="22"/>
        </w:rPr>
        <w:t>:</w:t>
      </w:r>
    </w:p>
    <w:p w:rsidR="002D201B" w:rsidRDefault="00EB4AE4" w:rsidP="002D201B">
      <w:pPr>
        <w:pStyle w:val="ListParagraph"/>
        <w:numPr>
          <w:ilvl w:val="1"/>
          <w:numId w:val="5"/>
        </w:numPr>
        <w:tabs>
          <w:tab w:val="left" w:pos="990"/>
          <w:tab w:val="left" w:pos="1710"/>
          <w:tab w:val="left" w:pos="2070"/>
        </w:tabs>
        <w:rPr>
          <w:sz w:val="22"/>
          <w:szCs w:val="22"/>
        </w:rPr>
      </w:pPr>
      <w:r w:rsidRPr="002D201B">
        <w:rPr>
          <w:sz w:val="22"/>
          <w:szCs w:val="22"/>
        </w:rPr>
        <w:t>Fingerprint background check for the OK Board of Nursing Licensure Application (</w:t>
      </w:r>
      <w:r w:rsidR="00C6659F">
        <w:rPr>
          <w:sz w:val="22"/>
          <w:szCs w:val="22"/>
        </w:rPr>
        <w:t xml:space="preserve">appx </w:t>
      </w:r>
      <w:r w:rsidRPr="002D201B">
        <w:rPr>
          <w:sz w:val="22"/>
          <w:szCs w:val="22"/>
        </w:rPr>
        <w:t>$53)</w:t>
      </w:r>
    </w:p>
    <w:p w:rsidR="00EB4AE4" w:rsidRDefault="00EB4AE4" w:rsidP="002D201B">
      <w:pPr>
        <w:pStyle w:val="ListParagraph"/>
        <w:numPr>
          <w:ilvl w:val="1"/>
          <w:numId w:val="5"/>
        </w:numPr>
        <w:tabs>
          <w:tab w:val="left" w:pos="990"/>
          <w:tab w:val="left" w:pos="1710"/>
          <w:tab w:val="left" w:pos="2070"/>
        </w:tabs>
        <w:rPr>
          <w:sz w:val="22"/>
          <w:szCs w:val="22"/>
        </w:rPr>
      </w:pPr>
      <w:r w:rsidRPr="002D201B">
        <w:rPr>
          <w:sz w:val="22"/>
          <w:szCs w:val="22"/>
        </w:rPr>
        <w:t>Oklahoma Board of Nursing Licensure Application Fee (</w:t>
      </w:r>
      <w:r w:rsidR="00C6659F">
        <w:rPr>
          <w:sz w:val="22"/>
          <w:szCs w:val="22"/>
        </w:rPr>
        <w:t xml:space="preserve">appx </w:t>
      </w:r>
      <w:r w:rsidRPr="002D201B">
        <w:rPr>
          <w:sz w:val="22"/>
          <w:szCs w:val="22"/>
        </w:rPr>
        <w:t>$85)</w:t>
      </w:r>
    </w:p>
    <w:p w:rsidR="008C4E76" w:rsidRPr="002D201B" w:rsidRDefault="008C4E76" w:rsidP="008C4E76">
      <w:pPr>
        <w:pStyle w:val="ListParagraph"/>
        <w:tabs>
          <w:tab w:val="left" w:pos="990"/>
          <w:tab w:val="left" w:pos="1710"/>
          <w:tab w:val="left" w:pos="2070"/>
        </w:tabs>
        <w:ind w:left="2070"/>
        <w:rPr>
          <w:sz w:val="22"/>
          <w:szCs w:val="22"/>
        </w:rPr>
      </w:pPr>
    </w:p>
    <w:p w:rsidR="00A43D22" w:rsidRDefault="00A43D22" w:rsidP="0007168A">
      <w:pPr>
        <w:tabs>
          <w:tab w:val="left" w:pos="990"/>
          <w:tab w:val="left" w:pos="1710"/>
          <w:tab w:val="left" w:pos="207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4)  P</w:t>
      </w:r>
      <w:r w:rsidR="008C4E76" w:rsidRPr="008C4E76">
        <w:rPr>
          <w:sz w:val="22"/>
          <w:szCs w:val="22"/>
        </w:rPr>
        <w:t>arking fees for some clinical experiences</w:t>
      </w:r>
      <w:r>
        <w:rPr>
          <w:sz w:val="22"/>
          <w:szCs w:val="22"/>
        </w:rPr>
        <w:t xml:space="preserve"> may be required.</w:t>
      </w:r>
    </w:p>
    <w:p w:rsidR="00A43D22" w:rsidRDefault="00A43D22" w:rsidP="0007168A">
      <w:pPr>
        <w:tabs>
          <w:tab w:val="left" w:pos="990"/>
          <w:tab w:val="left" w:pos="1710"/>
          <w:tab w:val="left" w:pos="2070"/>
        </w:tabs>
        <w:ind w:left="360" w:hanging="360"/>
        <w:rPr>
          <w:sz w:val="22"/>
          <w:szCs w:val="22"/>
        </w:rPr>
      </w:pPr>
    </w:p>
    <w:p w:rsidR="00A43D22" w:rsidRDefault="00A43D22" w:rsidP="0007168A">
      <w:pPr>
        <w:tabs>
          <w:tab w:val="left" w:pos="990"/>
          <w:tab w:val="left" w:pos="1710"/>
          <w:tab w:val="left" w:pos="2070"/>
        </w:tabs>
        <w:ind w:left="360" w:hanging="360"/>
        <w:rPr>
          <w:sz w:val="22"/>
          <w:szCs w:val="22"/>
        </w:rPr>
      </w:pPr>
    </w:p>
    <w:p w:rsidR="00A43D22" w:rsidRPr="0007168A" w:rsidRDefault="00A43D22" w:rsidP="0007168A">
      <w:pPr>
        <w:tabs>
          <w:tab w:val="left" w:pos="990"/>
          <w:tab w:val="left" w:pos="1710"/>
          <w:tab w:val="left" w:pos="2070"/>
        </w:tabs>
        <w:ind w:left="360" w:hanging="360"/>
        <w:rPr>
          <w:sz w:val="22"/>
          <w:szCs w:val="22"/>
        </w:rPr>
      </w:pPr>
    </w:p>
    <w:p w:rsidR="0075694A" w:rsidRPr="007B7CAD" w:rsidRDefault="0075694A" w:rsidP="0075694A">
      <w:pPr>
        <w:tabs>
          <w:tab w:val="left" w:pos="480"/>
          <w:tab w:val="left" w:pos="680"/>
          <w:tab w:val="left" w:pos="990"/>
          <w:tab w:val="left" w:pos="1080"/>
          <w:tab w:val="left" w:pos="1520"/>
        </w:tabs>
        <w:ind w:left="1080" w:hanging="630"/>
        <w:rPr>
          <w:sz w:val="22"/>
          <w:szCs w:val="22"/>
        </w:rPr>
      </w:pPr>
    </w:p>
    <w:p w:rsidR="0075694A" w:rsidRPr="007B7CAD" w:rsidRDefault="0075694A" w:rsidP="000A300C">
      <w:pPr>
        <w:tabs>
          <w:tab w:val="left" w:pos="450"/>
          <w:tab w:val="left" w:pos="480"/>
          <w:tab w:val="left" w:pos="680"/>
          <w:tab w:val="left" w:pos="990"/>
          <w:tab w:val="left" w:pos="1520"/>
        </w:tabs>
        <w:ind w:left="450"/>
        <w:rPr>
          <w:sz w:val="22"/>
          <w:szCs w:val="22"/>
        </w:rPr>
      </w:pPr>
      <w:r w:rsidRPr="007B7CAD">
        <w:rPr>
          <w:sz w:val="22"/>
          <w:szCs w:val="22"/>
        </w:rPr>
        <w:t>Pell grants and other forms of financial assistan</w:t>
      </w:r>
      <w:r w:rsidR="00A43D22">
        <w:rPr>
          <w:sz w:val="22"/>
          <w:szCs w:val="22"/>
        </w:rPr>
        <w:t>ce may be</w:t>
      </w:r>
      <w:r w:rsidRPr="007B7CAD">
        <w:rPr>
          <w:sz w:val="22"/>
          <w:szCs w:val="22"/>
        </w:rPr>
        <w:t xml:space="preserve"> available to adult students.  </w:t>
      </w:r>
      <w:r w:rsidR="00EB4AE4" w:rsidRPr="007B7CAD">
        <w:rPr>
          <w:sz w:val="22"/>
          <w:szCs w:val="22"/>
        </w:rPr>
        <w:t>For more information, please s</w:t>
      </w:r>
      <w:r w:rsidRPr="007B7CAD">
        <w:rPr>
          <w:sz w:val="22"/>
          <w:szCs w:val="22"/>
        </w:rPr>
        <w:t>ee the financ</w:t>
      </w:r>
      <w:r w:rsidR="00CF6BBD">
        <w:rPr>
          <w:sz w:val="22"/>
          <w:szCs w:val="22"/>
        </w:rPr>
        <w:t>ial aid advisor</w:t>
      </w:r>
      <w:r w:rsidR="000B4ACB">
        <w:rPr>
          <w:sz w:val="22"/>
          <w:szCs w:val="22"/>
        </w:rPr>
        <w:t>, Mrs. Murphy,</w:t>
      </w:r>
      <w:r w:rsidR="00CF6BBD">
        <w:rPr>
          <w:sz w:val="22"/>
          <w:szCs w:val="22"/>
        </w:rPr>
        <w:t xml:space="preserve"> in the Front </w:t>
      </w:r>
      <w:r w:rsidR="00EB4AE4" w:rsidRPr="007B7CAD">
        <w:rPr>
          <w:sz w:val="22"/>
          <w:szCs w:val="22"/>
        </w:rPr>
        <w:t>O</w:t>
      </w:r>
      <w:r w:rsidRPr="007B7CAD">
        <w:rPr>
          <w:sz w:val="22"/>
          <w:szCs w:val="22"/>
        </w:rPr>
        <w:t>ffice</w:t>
      </w:r>
      <w:r w:rsidR="00EB4AE4" w:rsidRPr="007B7CAD">
        <w:rPr>
          <w:sz w:val="22"/>
          <w:szCs w:val="22"/>
        </w:rPr>
        <w:t xml:space="preserve"> or call 405-</w:t>
      </w:r>
      <w:r w:rsidR="00CF6BBD">
        <w:rPr>
          <w:sz w:val="22"/>
          <w:szCs w:val="22"/>
        </w:rPr>
        <w:t>739-1707</w:t>
      </w:r>
      <w:r w:rsidRPr="007B7CAD">
        <w:rPr>
          <w:sz w:val="22"/>
          <w:szCs w:val="22"/>
        </w:rPr>
        <w:t>.</w:t>
      </w:r>
      <w:r w:rsidR="000A300C">
        <w:rPr>
          <w:sz w:val="22"/>
          <w:szCs w:val="22"/>
        </w:rPr>
        <w:t xml:space="preserve">  </w:t>
      </w:r>
      <w:r w:rsidR="00CF6BBD">
        <w:rPr>
          <w:sz w:val="22"/>
          <w:szCs w:val="22"/>
        </w:rPr>
        <w:t xml:space="preserve">Students not receiving financial </w:t>
      </w:r>
      <w:r w:rsidR="00E06054">
        <w:rPr>
          <w:sz w:val="22"/>
          <w:szCs w:val="22"/>
        </w:rPr>
        <w:t>assistance are required to call Rina Keefover in the Front Office (405) 739-1707 to arrange a payment plan prior to</w:t>
      </w:r>
      <w:r w:rsidR="000962F5">
        <w:rPr>
          <w:sz w:val="22"/>
          <w:szCs w:val="22"/>
        </w:rPr>
        <w:t xml:space="preserve"> the</w:t>
      </w:r>
      <w:r w:rsidR="00E06054">
        <w:rPr>
          <w:sz w:val="22"/>
          <w:szCs w:val="22"/>
        </w:rPr>
        <w:t xml:space="preserve"> first day of class. </w:t>
      </w:r>
    </w:p>
    <w:sectPr w:rsidR="0075694A" w:rsidRPr="007B7CAD" w:rsidSect="002D201B">
      <w:pgSz w:w="12240" w:h="15840" w:code="1"/>
      <w:pgMar w:top="23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1B" w:rsidRDefault="0024281B" w:rsidP="00D502F0">
      <w:r>
        <w:separator/>
      </w:r>
    </w:p>
  </w:endnote>
  <w:endnote w:type="continuationSeparator" w:id="0">
    <w:p w:rsidR="0024281B" w:rsidRDefault="0024281B" w:rsidP="00D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1B" w:rsidRDefault="0024281B" w:rsidP="00D502F0">
      <w:r>
        <w:separator/>
      </w:r>
    </w:p>
  </w:footnote>
  <w:footnote w:type="continuationSeparator" w:id="0">
    <w:p w:rsidR="0024281B" w:rsidRDefault="0024281B" w:rsidP="00D5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489"/>
    <w:multiLevelType w:val="hybridMultilevel"/>
    <w:tmpl w:val="6E680EF4"/>
    <w:lvl w:ilvl="0" w:tplc="34F88C7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822B6"/>
    <w:multiLevelType w:val="hybridMultilevel"/>
    <w:tmpl w:val="6804BE64"/>
    <w:lvl w:ilvl="0" w:tplc="E844FDAC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0F80D3F"/>
    <w:multiLevelType w:val="hybridMultilevel"/>
    <w:tmpl w:val="4C48D064"/>
    <w:lvl w:ilvl="0" w:tplc="9D1239C2">
      <w:start w:val="2015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>
    <w:nsid w:val="683E6F65"/>
    <w:multiLevelType w:val="hybridMultilevel"/>
    <w:tmpl w:val="B6603890"/>
    <w:lvl w:ilvl="0" w:tplc="91920510">
      <w:start w:val="2015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78744477"/>
    <w:multiLevelType w:val="hybridMultilevel"/>
    <w:tmpl w:val="DEC23348"/>
    <w:lvl w:ilvl="0" w:tplc="E34EB4DC">
      <w:start w:val="1"/>
      <w:numFmt w:val="decimal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7B"/>
    <w:rsid w:val="00007133"/>
    <w:rsid w:val="00007443"/>
    <w:rsid w:val="00016BBB"/>
    <w:rsid w:val="00043AFE"/>
    <w:rsid w:val="00045A83"/>
    <w:rsid w:val="00046975"/>
    <w:rsid w:val="00050765"/>
    <w:rsid w:val="000548E8"/>
    <w:rsid w:val="0006462A"/>
    <w:rsid w:val="0007168A"/>
    <w:rsid w:val="00080A05"/>
    <w:rsid w:val="000962F5"/>
    <w:rsid w:val="00097A66"/>
    <w:rsid w:val="000A2C7A"/>
    <w:rsid w:val="000A300C"/>
    <w:rsid w:val="000A3D76"/>
    <w:rsid w:val="000B35AA"/>
    <w:rsid w:val="000B4ACB"/>
    <w:rsid w:val="000B7630"/>
    <w:rsid w:val="000C70BB"/>
    <w:rsid w:val="000D3F09"/>
    <w:rsid w:val="000F0291"/>
    <w:rsid w:val="00101F4A"/>
    <w:rsid w:val="0011587A"/>
    <w:rsid w:val="001172E5"/>
    <w:rsid w:val="001420F8"/>
    <w:rsid w:val="00153AD3"/>
    <w:rsid w:val="0016093F"/>
    <w:rsid w:val="001642CB"/>
    <w:rsid w:val="001907B8"/>
    <w:rsid w:val="001937E9"/>
    <w:rsid w:val="00196473"/>
    <w:rsid w:val="001A678F"/>
    <w:rsid w:val="001E24A0"/>
    <w:rsid w:val="0021521D"/>
    <w:rsid w:val="00225980"/>
    <w:rsid w:val="002347D4"/>
    <w:rsid w:val="0024281B"/>
    <w:rsid w:val="00252A73"/>
    <w:rsid w:val="0025455B"/>
    <w:rsid w:val="00260B6D"/>
    <w:rsid w:val="00282D8A"/>
    <w:rsid w:val="00284A5A"/>
    <w:rsid w:val="00291D99"/>
    <w:rsid w:val="002A213D"/>
    <w:rsid w:val="002A4A19"/>
    <w:rsid w:val="002A7280"/>
    <w:rsid w:val="002C18D6"/>
    <w:rsid w:val="002C21AD"/>
    <w:rsid w:val="002C6B73"/>
    <w:rsid w:val="002C7499"/>
    <w:rsid w:val="002D201B"/>
    <w:rsid w:val="002D25EB"/>
    <w:rsid w:val="002D4930"/>
    <w:rsid w:val="002E382F"/>
    <w:rsid w:val="00300B8A"/>
    <w:rsid w:val="00306668"/>
    <w:rsid w:val="00313196"/>
    <w:rsid w:val="00316F57"/>
    <w:rsid w:val="003201EA"/>
    <w:rsid w:val="00321039"/>
    <w:rsid w:val="003239EA"/>
    <w:rsid w:val="003265EA"/>
    <w:rsid w:val="00344D2B"/>
    <w:rsid w:val="0034796B"/>
    <w:rsid w:val="003527C4"/>
    <w:rsid w:val="00353111"/>
    <w:rsid w:val="00360ECB"/>
    <w:rsid w:val="00361ACE"/>
    <w:rsid w:val="0039388A"/>
    <w:rsid w:val="003A08D2"/>
    <w:rsid w:val="003B026F"/>
    <w:rsid w:val="003E6DA2"/>
    <w:rsid w:val="0042317D"/>
    <w:rsid w:val="00447D68"/>
    <w:rsid w:val="00476D57"/>
    <w:rsid w:val="0048067C"/>
    <w:rsid w:val="004B0D70"/>
    <w:rsid w:val="004D17FA"/>
    <w:rsid w:val="004E6102"/>
    <w:rsid w:val="004F59AA"/>
    <w:rsid w:val="004F7B42"/>
    <w:rsid w:val="00502A85"/>
    <w:rsid w:val="00503CDB"/>
    <w:rsid w:val="00515C35"/>
    <w:rsid w:val="005304A8"/>
    <w:rsid w:val="005411A2"/>
    <w:rsid w:val="00545A4D"/>
    <w:rsid w:val="00545DA1"/>
    <w:rsid w:val="00565F4D"/>
    <w:rsid w:val="005701CB"/>
    <w:rsid w:val="0057147D"/>
    <w:rsid w:val="00580C3D"/>
    <w:rsid w:val="00597BEE"/>
    <w:rsid w:val="005B25C7"/>
    <w:rsid w:val="005C74EC"/>
    <w:rsid w:val="00607055"/>
    <w:rsid w:val="0063155E"/>
    <w:rsid w:val="0063584D"/>
    <w:rsid w:val="006411A2"/>
    <w:rsid w:val="0065240D"/>
    <w:rsid w:val="00652F1C"/>
    <w:rsid w:val="00696216"/>
    <w:rsid w:val="006975DD"/>
    <w:rsid w:val="006B239E"/>
    <w:rsid w:val="006D6B13"/>
    <w:rsid w:val="006E2DD4"/>
    <w:rsid w:val="006E6DEC"/>
    <w:rsid w:val="006F07E8"/>
    <w:rsid w:val="006F4EB6"/>
    <w:rsid w:val="00724ED0"/>
    <w:rsid w:val="00730F5F"/>
    <w:rsid w:val="00746F03"/>
    <w:rsid w:val="0075694A"/>
    <w:rsid w:val="007801A1"/>
    <w:rsid w:val="00783396"/>
    <w:rsid w:val="00794FA5"/>
    <w:rsid w:val="007A2204"/>
    <w:rsid w:val="007B7CAD"/>
    <w:rsid w:val="007D0CC3"/>
    <w:rsid w:val="008043C2"/>
    <w:rsid w:val="00807B0D"/>
    <w:rsid w:val="00815C25"/>
    <w:rsid w:val="00830C40"/>
    <w:rsid w:val="00851A13"/>
    <w:rsid w:val="008834AB"/>
    <w:rsid w:val="00893DA4"/>
    <w:rsid w:val="0089607D"/>
    <w:rsid w:val="00897357"/>
    <w:rsid w:val="008B3B05"/>
    <w:rsid w:val="008C0765"/>
    <w:rsid w:val="008C4E76"/>
    <w:rsid w:val="008D0A7B"/>
    <w:rsid w:val="008D5A3D"/>
    <w:rsid w:val="008D73AE"/>
    <w:rsid w:val="008F1D57"/>
    <w:rsid w:val="008F5F83"/>
    <w:rsid w:val="009066E6"/>
    <w:rsid w:val="0094253F"/>
    <w:rsid w:val="00943AD5"/>
    <w:rsid w:val="00944240"/>
    <w:rsid w:val="00965D30"/>
    <w:rsid w:val="009873D3"/>
    <w:rsid w:val="00993466"/>
    <w:rsid w:val="0099460F"/>
    <w:rsid w:val="009B26A6"/>
    <w:rsid w:val="009B7E09"/>
    <w:rsid w:val="009C22FB"/>
    <w:rsid w:val="009C3265"/>
    <w:rsid w:val="00A106DE"/>
    <w:rsid w:val="00A14509"/>
    <w:rsid w:val="00A36301"/>
    <w:rsid w:val="00A42839"/>
    <w:rsid w:val="00A43D22"/>
    <w:rsid w:val="00A475DE"/>
    <w:rsid w:val="00A630A3"/>
    <w:rsid w:val="00A6444F"/>
    <w:rsid w:val="00A729D4"/>
    <w:rsid w:val="00AD0313"/>
    <w:rsid w:val="00AF32AD"/>
    <w:rsid w:val="00B15EA9"/>
    <w:rsid w:val="00B2169A"/>
    <w:rsid w:val="00B25169"/>
    <w:rsid w:val="00B27A8E"/>
    <w:rsid w:val="00B572A5"/>
    <w:rsid w:val="00B74B95"/>
    <w:rsid w:val="00B80991"/>
    <w:rsid w:val="00B851C7"/>
    <w:rsid w:val="00B93F6C"/>
    <w:rsid w:val="00BC14F1"/>
    <w:rsid w:val="00BC4A45"/>
    <w:rsid w:val="00BD3958"/>
    <w:rsid w:val="00BF5DE8"/>
    <w:rsid w:val="00C17321"/>
    <w:rsid w:val="00C34027"/>
    <w:rsid w:val="00C348F5"/>
    <w:rsid w:val="00C42909"/>
    <w:rsid w:val="00C52B52"/>
    <w:rsid w:val="00C52EA9"/>
    <w:rsid w:val="00C53C9C"/>
    <w:rsid w:val="00C55818"/>
    <w:rsid w:val="00C6659F"/>
    <w:rsid w:val="00C83BE6"/>
    <w:rsid w:val="00CC318D"/>
    <w:rsid w:val="00CC4422"/>
    <w:rsid w:val="00CD0835"/>
    <w:rsid w:val="00CF6BBD"/>
    <w:rsid w:val="00D019BB"/>
    <w:rsid w:val="00D102CD"/>
    <w:rsid w:val="00D3313D"/>
    <w:rsid w:val="00D379C7"/>
    <w:rsid w:val="00D40934"/>
    <w:rsid w:val="00D502F0"/>
    <w:rsid w:val="00D76AFB"/>
    <w:rsid w:val="00D906A9"/>
    <w:rsid w:val="00DA0585"/>
    <w:rsid w:val="00DC6A51"/>
    <w:rsid w:val="00DD6C50"/>
    <w:rsid w:val="00DE1162"/>
    <w:rsid w:val="00DE566A"/>
    <w:rsid w:val="00DF79D4"/>
    <w:rsid w:val="00E06054"/>
    <w:rsid w:val="00E128ED"/>
    <w:rsid w:val="00E34E98"/>
    <w:rsid w:val="00E44076"/>
    <w:rsid w:val="00E46C92"/>
    <w:rsid w:val="00E57C8D"/>
    <w:rsid w:val="00E600F2"/>
    <w:rsid w:val="00EB4AE4"/>
    <w:rsid w:val="00ED16F4"/>
    <w:rsid w:val="00F15C22"/>
    <w:rsid w:val="00F27395"/>
    <w:rsid w:val="00F5361D"/>
    <w:rsid w:val="00F70E20"/>
    <w:rsid w:val="00F7283E"/>
    <w:rsid w:val="00F75B45"/>
    <w:rsid w:val="00F939D2"/>
    <w:rsid w:val="00FC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7B"/>
    <w:pPr>
      <w:jc w:val="left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D0A7B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8D0A7B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D0A7B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A7B"/>
    <w:rPr>
      <w:rFonts w:eastAsia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D0A7B"/>
    <w:rPr>
      <w:rFonts w:eastAsia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D0A7B"/>
    <w:rPr>
      <w:rFonts w:eastAsia="Times New Roman"/>
      <w:b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F0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F0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A7B"/>
    <w:pPr>
      <w:jc w:val="left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8D0A7B"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8D0A7B"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D0A7B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A7B"/>
    <w:rPr>
      <w:rFonts w:eastAsia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8D0A7B"/>
    <w:rPr>
      <w:rFonts w:eastAsia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8D0A7B"/>
    <w:rPr>
      <w:rFonts w:eastAsia="Times New Roman"/>
      <w:b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D50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F0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F0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BC66-C7FB-4C0D-8C81-95B4DE9E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 schools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LaDonna Selvidge</dc:creator>
  <cp:lastModifiedBy>Rina Keefover</cp:lastModifiedBy>
  <cp:revision>3</cp:revision>
  <cp:lastPrinted>2018-07-10T17:27:00Z</cp:lastPrinted>
  <dcterms:created xsi:type="dcterms:W3CDTF">2021-07-08T16:25:00Z</dcterms:created>
  <dcterms:modified xsi:type="dcterms:W3CDTF">2021-08-19T19:00:00Z</dcterms:modified>
</cp:coreProperties>
</file>